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62" w:rsidRDefault="002F1462" w:rsidP="002F1462">
      <w:pPr>
        <w:autoSpaceDE w:val="0"/>
        <w:autoSpaceDN w:val="0"/>
        <w:adjustRightInd w:val="0"/>
        <w:spacing w:after="0" w:line="680" w:lineRule="atLeast"/>
        <w:textAlignment w:val="center"/>
        <w:rPr>
          <w:rFonts w:cs="Roboto Black"/>
          <w:caps/>
          <w:color w:val="3C3C3B"/>
          <w:sz w:val="48"/>
          <w:szCs w:val="48"/>
        </w:rPr>
      </w:pPr>
      <w:r w:rsidRPr="002F1462">
        <w:rPr>
          <w:rFonts w:ascii="Roboto Black" w:hAnsi="Roboto Black" w:cs="Roboto Black"/>
          <w:caps/>
          <w:color w:val="3C3C3B"/>
          <w:sz w:val="48"/>
          <w:szCs w:val="48"/>
        </w:rPr>
        <w:t>2017. НАЧАЛО.</w:t>
      </w:r>
    </w:p>
    <w:p w:rsidR="002F1462" w:rsidRPr="002F1462" w:rsidRDefault="002F1462" w:rsidP="002F1462">
      <w:pPr>
        <w:autoSpaceDE w:val="0"/>
        <w:autoSpaceDN w:val="0"/>
        <w:adjustRightInd w:val="0"/>
        <w:spacing w:after="0" w:line="680" w:lineRule="atLeast"/>
        <w:textAlignment w:val="center"/>
        <w:rPr>
          <w:rFonts w:cs="Roboto Black"/>
          <w:caps/>
          <w:color w:val="3C3C3B"/>
          <w:sz w:val="48"/>
          <w:szCs w:val="48"/>
        </w:rPr>
      </w:pPr>
    </w:p>
    <w:p w:rsidR="002F1462" w:rsidRDefault="002F1462" w:rsidP="002F1462">
      <w:pPr>
        <w:ind w:firstLine="0"/>
        <w:rPr>
          <w:rFonts w:cs="Roboto Bold"/>
          <w:b/>
          <w:bCs/>
          <w:color w:val="3C3C3B"/>
          <w:sz w:val="24"/>
          <w:szCs w:val="24"/>
        </w:rPr>
      </w:pPr>
      <w:r w:rsidRPr="002F1462">
        <w:rPr>
          <w:rFonts w:ascii="Roboto Bold" w:hAnsi="Roboto Bold" w:cs="Roboto Bold"/>
          <w:b/>
          <w:bCs/>
          <w:color w:val="3C3C3B"/>
          <w:sz w:val="24"/>
          <w:szCs w:val="24"/>
        </w:rPr>
        <w:t xml:space="preserve">Первая четверть 2017 года прошла в Совете муниципальных образований Томской области под эгидой подготовки самого главного события – Съезда. Тем не менее, вопросы ежедневной повестки муниципалов, Совет постарался оперативно рассмотреть в рамках текущих мероприятий. Так, было организовано 7 семинаров, 3 «круглых стола», 2 рабочих группы и 3 «дня консультаций». Практически каждое из них снято на видео, которое, при необходимости, можно запросить в Исполнительной дирекции Совета. А настоящий дайджест расскажет лишь о самых ярких из прошедших событий. </w:t>
      </w:r>
    </w:p>
    <w:p w:rsidR="002F1462" w:rsidRPr="002F1462" w:rsidRDefault="002F1462" w:rsidP="002F1462">
      <w:pPr>
        <w:ind w:firstLine="0"/>
        <w:rPr>
          <w:rFonts w:ascii="Roboto Bold" w:hAnsi="Roboto Bold" w:cs="Roboto Bold"/>
          <w:b/>
          <w:bCs/>
          <w:caps/>
          <w:color w:val="3C3C3B"/>
          <w:sz w:val="32"/>
          <w:szCs w:val="32"/>
        </w:rPr>
      </w:pPr>
      <w:r w:rsidRPr="002F1462">
        <w:rPr>
          <w:rFonts w:ascii="Roboto Bold" w:hAnsi="Roboto Bold" w:cs="Roboto Bold"/>
          <w:b/>
          <w:bCs/>
          <w:caps/>
          <w:color w:val="3C3C3B"/>
          <w:sz w:val="32"/>
          <w:szCs w:val="32"/>
        </w:rPr>
        <w:t>ОРГАНИЗАЦИЯ ПАССАЖИРСКИХ ПЕРЕВОЗОК ПО-ТОМСКИ</w:t>
      </w:r>
    </w:p>
    <w:p w:rsidR="001C4594" w:rsidRDefault="002F1462" w:rsidP="001C34D0">
      <w:pPr>
        <w:ind w:firstLine="0"/>
        <w:rPr>
          <w:i/>
        </w:rPr>
      </w:pPr>
      <w:r w:rsidRPr="002F1462">
        <w:rPr>
          <w:i/>
        </w:rPr>
        <w:t>«Круглый стол» по вопросам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— это первое мероприятие, которое Совет муниципальных образований Томской области организовал в 2017 году. Томск поделился опытом организации пассажирских перевозок с районами области.</w:t>
      </w:r>
    </w:p>
    <w:p w:rsidR="007E6503" w:rsidRDefault="002F1462" w:rsidP="001C34D0">
      <w:pPr>
        <w:ind w:firstLine="0"/>
      </w:pPr>
      <w:r>
        <w:t xml:space="preserve">Главными спикерами стали начальник управления муниципального заказа и тарифной политики администрации Томска Андрей Викторович </w:t>
      </w:r>
      <w:proofErr w:type="spellStart"/>
      <w:r>
        <w:t>Комо</w:t>
      </w:r>
      <w:r w:rsidR="00B423BF">
        <w:t>горцев</w:t>
      </w:r>
      <w:proofErr w:type="spellEnd"/>
      <w:r w:rsidR="00B423BF">
        <w:t xml:space="preserve"> и председатель комите</w:t>
      </w:r>
      <w:r>
        <w:t>та по транспорту и организаци</w:t>
      </w:r>
      <w:r w:rsidR="00B423BF">
        <w:t>и дорожного движения той же администрации Ольга Анатольев</w:t>
      </w:r>
      <w:r>
        <w:t xml:space="preserve">на </w:t>
      </w:r>
      <w:proofErr w:type="spellStart"/>
      <w:r>
        <w:t>Свахина</w:t>
      </w:r>
      <w:proofErr w:type="spellEnd"/>
      <w:r>
        <w:t>. Оба спикера в январе были вынуждены постоянно</w:t>
      </w:r>
      <w:r w:rsidR="00B423BF">
        <w:t xml:space="preserve"> комментировать в СМИ новую схе</w:t>
      </w:r>
      <w:r>
        <w:t>му движения пассажирского транспорта в областном центре,</w:t>
      </w:r>
      <w:r w:rsidR="00B423BF">
        <w:t xml:space="preserve"> </w:t>
      </w:r>
      <w:proofErr w:type="gramStart"/>
      <w:r w:rsidR="00B423BF">
        <w:t>которая</w:t>
      </w:r>
      <w:proofErr w:type="gramEnd"/>
      <w:r w:rsidR="00B423BF">
        <w:t xml:space="preserve"> вызвала массовые нарекания участников рынка пасса</w:t>
      </w:r>
      <w:r>
        <w:t>жирских перево</w:t>
      </w:r>
      <w:r w:rsidR="00B423BF">
        <w:t xml:space="preserve">зок. </w:t>
      </w:r>
    </w:p>
    <w:p w:rsidR="002F1462" w:rsidRDefault="00B423BF" w:rsidP="001C34D0">
      <w:pPr>
        <w:ind w:firstLine="0"/>
      </w:pPr>
      <w:r>
        <w:t>На деле выяснилось, что новая схема практически повторя</w:t>
      </w:r>
      <w:r w:rsidR="002F1462">
        <w:t xml:space="preserve">ет </w:t>
      </w:r>
      <w:proofErr w:type="gramStart"/>
      <w:r w:rsidR="002F1462">
        <w:t>старую</w:t>
      </w:r>
      <w:proofErr w:type="gramEnd"/>
      <w:r w:rsidR="002F1462">
        <w:t>: кое-где удлинились интервалы движения автоб</w:t>
      </w:r>
      <w:r>
        <w:t>усов и сами маршруты. Принципи</w:t>
      </w:r>
      <w:r w:rsidR="002F1462">
        <w:t>ально новое в схеме — порядок ее формиро</w:t>
      </w:r>
      <w:r>
        <w:t>вания. Сначала транспортная схем</w:t>
      </w:r>
      <w:r w:rsidR="002F1462">
        <w:t>а была изучена и подправл</w:t>
      </w:r>
      <w:r>
        <w:t>ена экспертами из Перми и Наци</w:t>
      </w:r>
      <w:r w:rsidR="002F1462">
        <w:t>онального Исследовательского</w:t>
      </w:r>
      <w:r>
        <w:t xml:space="preserve"> Томского политехнического университета. Затем она прошла общественное обсуждение и лишь после этого сформированные маршруты были вынесены на аукцион, который позволил получить муниципальному бюджету доход в 100 миллионов рублей. Кроме этого, мелкие перевозчики </w:t>
      </w:r>
      <w:proofErr w:type="gramStart"/>
      <w:r>
        <w:t>объединились в товарищества и тем самым количество официальных перевозчиков сократилось</w:t>
      </w:r>
      <w:proofErr w:type="gramEnd"/>
      <w:r>
        <w:t xml:space="preserve"> с 350 до 15. Водители стали проходить реальные </w:t>
      </w:r>
      <w:proofErr w:type="spellStart"/>
      <w:r>
        <w:t>предрейсовые</w:t>
      </w:r>
      <w:proofErr w:type="spellEnd"/>
      <w:r>
        <w:t xml:space="preserve"> медицинские осмотры, а условия контракта с муниципалитетом предусматривают серьезные санкции за нарушения прав пассажиров: будь то курение за рулем или несоблюдение графика перевозок. Эксперты утверждают, что примерно половина негативных отзывов о новой схеме исходят от тех перевозчиков, кто не захотел работать по новым правилам и требовал от городских властей ввести нерегулируемый тариф. Попытки в судебном порядке оспорить введение новой схемы организации пассажирских перевозок уже завершились победами муниципалитета в судах первой инстанции. А рассмотрение дел в </w:t>
      </w:r>
      <w:proofErr w:type="spellStart"/>
      <w:r>
        <w:t>аппеляционном</w:t>
      </w:r>
      <w:proofErr w:type="spellEnd"/>
      <w:r>
        <w:t xml:space="preserve"> суде лишь подтвердило правоту городских властей, которые решили навести порядок на рынке, годовой объем которого оценивается, как минимум, в полмиллиарда рублей. В сельских районах Томской области, наверняка, такой конкуренции за </w:t>
      </w:r>
      <w:proofErr w:type="spellStart"/>
      <w:r>
        <w:t>внутримуниципальные</w:t>
      </w:r>
      <w:proofErr w:type="spellEnd"/>
      <w:r>
        <w:t xml:space="preserve"> маршруты не будет, но участники «круглого стола» получили бесценную информацию из первых рук </w:t>
      </w:r>
      <w:proofErr w:type="gramStart"/>
      <w:r>
        <w:t>о</w:t>
      </w:r>
      <w:proofErr w:type="gramEnd"/>
      <w:r>
        <w:t xml:space="preserve"> всех процедурных тонкостях в проведении торгов на организацию пассажирских перевозок в своих муниципалитетах.</w:t>
      </w:r>
    </w:p>
    <w:p w:rsidR="00B423BF" w:rsidRDefault="00B423BF" w:rsidP="001C34D0">
      <w:pPr>
        <w:ind w:firstLine="0"/>
        <w:rPr>
          <w:rFonts w:cs="Roboto Bold"/>
          <w:b/>
          <w:bCs/>
          <w:caps/>
          <w:color w:val="3C3C3B"/>
          <w:sz w:val="32"/>
          <w:szCs w:val="32"/>
        </w:rPr>
      </w:pPr>
    </w:p>
    <w:p w:rsidR="00B423BF" w:rsidRDefault="00B423BF" w:rsidP="001C34D0">
      <w:pPr>
        <w:ind w:firstLine="0"/>
        <w:rPr>
          <w:rFonts w:cs="Roboto Bold"/>
          <w:b/>
          <w:bCs/>
          <w:caps/>
          <w:color w:val="3C3C3B"/>
          <w:sz w:val="32"/>
          <w:szCs w:val="32"/>
        </w:rPr>
      </w:pPr>
    </w:p>
    <w:p w:rsidR="00B423BF" w:rsidRDefault="00B423BF" w:rsidP="001C34D0">
      <w:pPr>
        <w:ind w:firstLine="0"/>
        <w:rPr>
          <w:rFonts w:cs="Roboto Bold"/>
          <w:b/>
          <w:bCs/>
          <w:caps/>
          <w:color w:val="3C3C3B"/>
          <w:sz w:val="32"/>
          <w:szCs w:val="32"/>
        </w:rPr>
      </w:pPr>
      <w:r w:rsidRPr="00B423BF">
        <w:rPr>
          <w:rFonts w:ascii="Roboto Bold" w:hAnsi="Roboto Bold" w:cs="Roboto Bold"/>
          <w:b/>
          <w:bCs/>
          <w:caps/>
          <w:color w:val="3C3C3B"/>
          <w:sz w:val="32"/>
          <w:szCs w:val="32"/>
        </w:rPr>
        <w:lastRenderedPageBreak/>
        <w:t>СЕМИНАР ДЛЯ СЕЛЬСКИХ НОТАРИУСОВ</w:t>
      </w:r>
    </w:p>
    <w:p w:rsidR="00B423BF" w:rsidRPr="00B423BF" w:rsidRDefault="00B423BF" w:rsidP="001C34D0">
      <w:pPr>
        <w:ind w:firstLine="0"/>
        <w:rPr>
          <w:rFonts w:cs="Roboto Bold"/>
          <w:b/>
          <w:bCs/>
          <w:i/>
          <w:caps/>
          <w:color w:val="3C3C3B"/>
          <w:sz w:val="32"/>
          <w:szCs w:val="32"/>
        </w:rPr>
      </w:pPr>
      <w:r w:rsidRPr="00B423BF">
        <w:rPr>
          <w:i/>
        </w:rPr>
        <w:t xml:space="preserve">В конце января в Совете прошел семинар для муниципальных служащих, которые уполномочены совершать нотариальные действия. </w:t>
      </w:r>
    </w:p>
    <w:p w:rsidR="00B423BF" w:rsidRDefault="00B423BF" w:rsidP="001C34D0">
      <w:pPr>
        <w:ind w:firstLine="0"/>
      </w:pPr>
      <w:r>
        <w:t xml:space="preserve">В небольших и дальних населенных пунктах часто нет своих нотариусов и их функции, согласно статье 37 Основ законодательства РФ о нотариате, исполняют уполномоченные на это должностные лица органов местного самоуправления. Пошлина за совершение нотариальных действий поступает в бюджет поселения, что немаловажно, учитывая </w:t>
      </w:r>
      <w:proofErr w:type="spellStart"/>
      <w:r>
        <w:t>дотационность</w:t>
      </w:r>
      <w:proofErr w:type="spellEnd"/>
      <w:r>
        <w:t xml:space="preserve"> сельских бюджетов. Однако, с наступлением электронного документооборота и созданием единых баз данных, особое значение имеет своевременное, в течение 5 суток, и грамотное внесение данных о нотариальных действиях в общую базу данных. Тогда завещания и доверенности сельских жителей имеют реальную силу и не могут быть впоследствии подвергнуты сомнению. Помимо обычных для глубинки проблем со связью, есть проблемы с программным обеспечением, оргтехникой, методикой внесения данных в единую базу данных. Об этом рассказывали и отвечали на вопросы участников сотрудники Ассоциации «Томская областная нотариальная палата» и Управления Министерства юстиции РФ по Томской области.</w:t>
      </w:r>
    </w:p>
    <w:p w:rsidR="00B423BF" w:rsidRDefault="00B423BF" w:rsidP="001C34D0">
      <w:pPr>
        <w:ind w:firstLine="0"/>
        <w:rPr>
          <w:rFonts w:cs="Roboto Bold"/>
          <w:b/>
          <w:bCs/>
          <w:caps/>
          <w:color w:val="3C3C3B"/>
          <w:sz w:val="32"/>
          <w:szCs w:val="32"/>
        </w:rPr>
      </w:pPr>
      <w:r w:rsidRPr="00B423BF">
        <w:rPr>
          <w:rFonts w:ascii="Roboto Bold" w:hAnsi="Roboto Bold" w:cs="Roboto Bold"/>
          <w:b/>
          <w:bCs/>
          <w:caps/>
          <w:color w:val="3C3C3B"/>
          <w:sz w:val="32"/>
          <w:szCs w:val="32"/>
        </w:rPr>
        <w:t>ОМБУДСМЕНУ РАССКАЗАЛИ О ПРОБЛЕМАХ СЕЛЬСКОГО БИЗНЕСА</w:t>
      </w:r>
    </w:p>
    <w:p w:rsidR="00B423BF" w:rsidRDefault="00B423BF" w:rsidP="001C34D0">
      <w:pPr>
        <w:ind w:firstLine="0"/>
      </w:pPr>
      <w:r>
        <w:t xml:space="preserve">В начале февраля Совет организовал «круглый стол», на котором собравшиеся обсудили проблемы развития предпринимательства на селе. Глав районных администраций, их заместителей по экономике, руководителей администраций сельских поселений заинтересованно выслушал Валерий Анатольевич </w:t>
      </w:r>
      <w:proofErr w:type="spellStart"/>
      <w:r>
        <w:t>Падерин</w:t>
      </w:r>
      <w:proofErr w:type="spellEnd"/>
      <w:r>
        <w:t>, уполномоченный по защите прав предпринимателей в Томской области.</w:t>
      </w:r>
    </w:p>
    <w:p w:rsidR="008728AB" w:rsidRDefault="00B423BF" w:rsidP="001C34D0">
      <w:pPr>
        <w:ind w:firstLine="0"/>
      </w:pPr>
      <w:r>
        <w:t xml:space="preserve">Хороший зачин для разговора дал глава </w:t>
      </w:r>
      <w:proofErr w:type="spellStart"/>
      <w:r>
        <w:t>Чилинского</w:t>
      </w:r>
      <w:proofErr w:type="spellEnd"/>
      <w:r>
        <w:t xml:space="preserve"> сельского поселения </w:t>
      </w:r>
      <w:proofErr w:type="spellStart"/>
      <w:r>
        <w:t>Кожевниковского</w:t>
      </w:r>
      <w:proofErr w:type="spellEnd"/>
      <w:r>
        <w:t xml:space="preserve"> района Сергей Александрович Гаврилов, который однозначно заявил, что «село без предпринимателя, без бизнеса — это болото». Но у глав сельских поселений фактически отсутствуют стимулы для развития бизнеса. Да, собственно, не хватает и возможностей. К тому же, жители небольших сел готовы работать руками, но совершенно не готовы общаться с контролирующими и налоговыми органами, не умеют вести бухгалтерский учет, правильно разносить по статьям свои расходы и доходы. В результате случаются нелепые ошибки, из-за которых выставляются штрафные санкции на тысячи и даже миллионы рублей. — Селян надо </w:t>
      </w:r>
      <w:proofErr w:type="gramStart"/>
      <w:r>
        <w:t>сперва</w:t>
      </w:r>
      <w:proofErr w:type="gramEnd"/>
      <w:r>
        <w:t xml:space="preserve"> обучить, а уж потом запускать в бизнес, — подвел итог сам в прошлом предприниматель С.А. Гаврилов — Влияние бизнеса на село очень хорошее. В нашем поселении с «приходом» нового кооператива «</w:t>
      </w:r>
      <w:proofErr w:type="spellStart"/>
      <w:r>
        <w:t>Чилинское</w:t>
      </w:r>
      <w:proofErr w:type="spellEnd"/>
      <w:r>
        <w:t xml:space="preserve"> подворье» на 60% снизилось количество правонарушений. Глава </w:t>
      </w:r>
      <w:proofErr w:type="spellStart"/>
      <w:r>
        <w:t>Молчановского</w:t>
      </w:r>
      <w:proofErr w:type="spellEnd"/>
      <w:r>
        <w:t xml:space="preserve"> района Юрий Юрьевич Сальков отметил, что однозначно плохо на легальном бизнесе сказалось повышение страховых взносов во внебюджетные фонды, исчезновение или сокращение мер государственной поддержки стартующего и действующего бизнеса. </w:t>
      </w:r>
    </w:p>
    <w:p w:rsidR="008728AB" w:rsidRDefault="00B423BF" w:rsidP="001C34D0">
      <w:pPr>
        <w:ind w:firstLine="0"/>
      </w:pPr>
      <w:r>
        <w:t xml:space="preserve">Кроме того, бизнес в северных районах не может конкурировать </w:t>
      </w:r>
      <w:proofErr w:type="gramStart"/>
      <w:r>
        <w:t>с</w:t>
      </w:r>
      <w:proofErr w:type="gramEnd"/>
      <w:r>
        <w:t xml:space="preserve"> </w:t>
      </w:r>
      <w:proofErr w:type="gramStart"/>
      <w:r>
        <w:t>городским</w:t>
      </w:r>
      <w:proofErr w:type="gramEnd"/>
      <w:r>
        <w:t xml:space="preserve"> в Томске, потому что существующие районные коэффициенты на зарплату работников однозначно снижают конкурентоспособность селян, вынуждают бизнес уходить в тень, нарушать трудовое и налоговое законодательство. Коллегу поддержала заместитель главы Томского района по экономической политике Оксана Николаевна </w:t>
      </w:r>
      <w:proofErr w:type="spellStart"/>
      <w:r>
        <w:t>Быстрицкая</w:t>
      </w:r>
      <w:proofErr w:type="spellEnd"/>
      <w:r>
        <w:t xml:space="preserve">, которая сообщила, что по ее оценкам 80% сельского бизнеса работает нелегально и доказать это крайне сложно, да и ни к чему. Административный штраф за незаконное предпринимательство составляет всего 500 рублей. Кроме того, безвозмездная раздача земли в 90-е годы прошлого века не породила на селе эффективных собственников, а создала огромные резервы бесхозной, но при этом неприкосновенной земли. </w:t>
      </w:r>
    </w:p>
    <w:p w:rsidR="00B423BF" w:rsidRDefault="00B423BF" w:rsidP="001C34D0">
      <w:pPr>
        <w:ind w:firstLine="0"/>
      </w:pPr>
      <w:r>
        <w:t>Бизнес мог бы использовать эту зем</w:t>
      </w:r>
      <w:r w:rsidR="009B662B">
        <w:t>лю, но найти собственников до</w:t>
      </w:r>
      <w:r>
        <w:t xml:space="preserve">вольно проблематично. Бизнес-омбудсмен заверил собравшихся, что устранить ряд препятствий для сельского бизнеса вполне возможно на региональном уровне, без изменений действующего законодательства. Например, наладить квалифицированный и недорогой бухгалтерский учет для сельского бизнеса через систему существующих Центров поддержки предпринимательства или найти для крупных торговых сетей серьезных поставщиков чищеной и мытой картошки в вакуумной упаковке. Стоит сказать, что </w:t>
      </w:r>
      <w:proofErr w:type="spellStart"/>
      <w:r>
        <w:t>Чилинцы</w:t>
      </w:r>
      <w:proofErr w:type="spellEnd"/>
      <w:r>
        <w:t xml:space="preserve"> тут же предложили любые объемы, но не по демпинговым ценам, которые обычно предлагают торговые сети.</w:t>
      </w:r>
    </w:p>
    <w:p w:rsidR="00B423BF" w:rsidRDefault="00B423BF" w:rsidP="001C34D0">
      <w:pPr>
        <w:ind w:firstLine="0"/>
        <w:rPr>
          <w:rFonts w:cs="Roboto Bold"/>
          <w:b/>
          <w:bCs/>
          <w:caps/>
          <w:color w:val="3C3C3B"/>
          <w:sz w:val="32"/>
          <w:szCs w:val="32"/>
        </w:rPr>
      </w:pPr>
      <w:r w:rsidRPr="00B423BF">
        <w:rPr>
          <w:rFonts w:ascii="Roboto Bold" w:hAnsi="Roboto Bold" w:cs="Roboto Bold"/>
          <w:b/>
          <w:bCs/>
          <w:caps/>
          <w:color w:val="3C3C3B"/>
          <w:sz w:val="32"/>
          <w:szCs w:val="32"/>
        </w:rPr>
        <w:t>ПРИОРИТЕТНЫЙ НАЦИОНАЛЬНЫЙ ПРОЕКТ</w:t>
      </w:r>
    </w:p>
    <w:p w:rsidR="00B423BF" w:rsidRDefault="00B423BF" w:rsidP="001C34D0">
      <w:pPr>
        <w:ind w:firstLine="0"/>
      </w:pPr>
      <w:r>
        <w:t>В 2017 году Правительство РФ выделяет 20 миллиардов рублей на программы благоустройства в рамках проектов «Обеспечение качества жилищно-коммунальных услуг» и «Формирование комфортной городской среды», о чем было объявлено Президентом России Владимиром Владимировичем Путиным в рамках ежегодного послания Федеральному Собранию Российской Федерации.</w:t>
      </w:r>
    </w:p>
    <w:p w:rsidR="00B423BF" w:rsidRDefault="00B423BF" w:rsidP="001C34D0">
      <w:pPr>
        <w:ind w:firstLine="0"/>
      </w:pPr>
      <w:r>
        <w:t xml:space="preserve">Планируется 2/3 всего объема федеральной субсидии направить на благоустройство дворов. При этом дворы будут включаться в программу только по инициативе самих жителей, а при их благоустройстве должны обязательно учитываться принципы доступности для </w:t>
      </w:r>
      <w:proofErr w:type="spellStart"/>
      <w:r>
        <w:t>маломобильных</w:t>
      </w:r>
      <w:proofErr w:type="spellEnd"/>
      <w:r>
        <w:t xml:space="preserve"> групп населения. Оставшаяся треть выделяется на благоустройство общественных пространств по выбору горожан. По плану, все неухоженные общественные пространства в городах страны должны быть приведены в порядок до 2022 года. В качестве обязательного минимума в программы благоустройства дворов войдут работы по ремонту проездов к домам, установка на дворовых и общественных территориях скамеек, урн, дополнительного освещения. Именно эти расходы пре</w:t>
      </w:r>
      <w:proofErr w:type="gramStart"/>
      <w:r>
        <w:t>д-</w:t>
      </w:r>
      <w:proofErr w:type="gramEnd"/>
      <w:r>
        <w:t xml:space="preserve"> полагается покрывать за счет средств федерального бюджета. Что же касается других элементов благоустройства – </w:t>
      </w:r>
      <w:proofErr w:type="spellStart"/>
      <w:r>
        <w:t>автопарковок</w:t>
      </w:r>
      <w:proofErr w:type="spellEnd"/>
      <w:r>
        <w:t>, детских и спортивных площадок, озеленения – то для их финансирования можно будет привлекать и средства со стороны: как самих жильцов, так и предпринимателей. Средства субсидии направлены в 72 региона страны на софинансирование региональных и муниципальных программ формирования современной городской среды. Томская область получит почти 194 миллиона рублей. Совет муниципальных образований Томской области совместно с Департаментом строительства и архитектуры Томской области организовали семинар, на котором проговорили о том, как быстро и, желательно, без ошибок муниципальным образованиям войти в данную программу. Улучшать городскую среду планируется 5 лет, и лучшие в этом плане муниципалитеты могут получить в предстоящие годы существенную прибавку на благоустройство. Какие для этого нужно решить задачи? Первое — создать удобный и быстрый механизм рассмотрения и отбора предложений граждан по благоустройству: через сайт, письмами, лично, об- ращениями в администрацию</w:t>
      </w:r>
      <w:proofErr w:type="gramStart"/>
      <w:r>
        <w:t>… В</w:t>
      </w:r>
      <w:proofErr w:type="gramEnd"/>
      <w:r>
        <w:t xml:space="preserve">торое — на основе предложений граждан должна быть разработана муниципальная подпрограмма благоустройства в рамках программы капитального ремонта жилья и (или) программы социально-экономического развития территории. Также должны быть актуализированы правила благоустройства. И третье — все перечисленные нормативно-правовые акты обязательно должны пройти общественное обсуждение. Кампания 2017 года уже стартовала и большинство муниципалитетов до начала апреля направили свои заявки в Департамент строительства и архитектуры на включение муниципальных программ в </w:t>
      </w:r>
      <w:proofErr w:type="gramStart"/>
      <w:r>
        <w:t>региональную</w:t>
      </w:r>
      <w:proofErr w:type="gramEnd"/>
      <w:r>
        <w:t>. Но не стоит забывать, что параллельно, более обстоятельно, следует начать разработку программы благоустройства на 2018-2022 годы. Для этого необходимо провести инвентаризацию состояния объектов и общественных пространств; составить график благоустройства всех дворов, общественных пространств и иных объектов; вместе с собственниками разработать план бла</w:t>
      </w:r>
      <w:r w:rsidR="009B662B">
        <w:t>го</w:t>
      </w:r>
      <w:r>
        <w:t>устройства частной недвижимости, включая прилегающие территории; синхронизировать муниципальные программы с планами капитального ремонта домов, инженерных сетей.</w:t>
      </w:r>
    </w:p>
    <w:p w:rsidR="00663B65" w:rsidRPr="00663B65" w:rsidRDefault="00B423BF" w:rsidP="00663B65">
      <w:pPr>
        <w:ind w:left="4962" w:firstLine="0"/>
        <w:rPr>
          <w:color w:val="FF0000"/>
        </w:rPr>
      </w:pPr>
      <w:r w:rsidRPr="00663B65">
        <w:rPr>
          <w:color w:val="FF0000"/>
        </w:rPr>
        <w:t xml:space="preserve">Хронограф </w:t>
      </w:r>
    </w:p>
    <w:p w:rsidR="00663B65" w:rsidRDefault="00B423BF" w:rsidP="00663B65">
      <w:pPr>
        <w:ind w:left="4962" w:firstLine="0"/>
      </w:pPr>
      <w:r>
        <w:t xml:space="preserve">3 марта — семинар по вопросам реализации приоритетного национального проекта «Формирование комфортной городской среды» </w:t>
      </w:r>
    </w:p>
    <w:p w:rsidR="00663B65" w:rsidRDefault="00B423BF" w:rsidP="00663B65">
      <w:pPr>
        <w:ind w:left="4962" w:firstLine="0"/>
      </w:pPr>
      <w:r>
        <w:t xml:space="preserve">10 марта — «День консультаций» по вопросам предоставления социальных гарантий муниципальным служащим </w:t>
      </w:r>
    </w:p>
    <w:p w:rsidR="00663B65" w:rsidRDefault="009B662B" w:rsidP="00663B65">
      <w:pPr>
        <w:ind w:left="4962" w:firstLine="0"/>
      </w:pPr>
      <w:r>
        <w:t xml:space="preserve">14 марта — </w:t>
      </w:r>
      <w:proofErr w:type="spellStart"/>
      <w:r>
        <w:t>онлайн-</w:t>
      </w:r>
      <w:r w:rsidR="00B423BF">
        <w:t>семинар</w:t>
      </w:r>
      <w:proofErr w:type="spellEnd"/>
      <w:r w:rsidR="00B423BF">
        <w:t xml:space="preserve"> по вопросам тарифн</w:t>
      </w:r>
      <w:r>
        <w:t>ого регулирова</w:t>
      </w:r>
      <w:r w:rsidR="00B423BF">
        <w:t xml:space="preserve">ния отрасли ЖКХ на 2017-2018 гг. </w:t>
      </w:r>
    </w:p>
    <w:p w:rsidR="00663B65" w:rsidRDefault="009B662B" w:rsidP="00663B65">
      <w:pPr>
        <w:ind w:left="4962" w:firstLine="0"/>
      </w:pPr>
      <w:r>
        <w:t xml:space="preserve">15 марта — </w:t>
      </w:r>
      <w:proofErr w:type="spellStart"/>
      <w:r>
        <w:t>онлайн-</w:t>
      </w:r>
      <w:r w:rsidR="00B423BF">
        <w:t>семинар</w:t>
      </w:r>
      <w:proofErr w:type="spellEnd"/>
      <w:r w:rsidR="00B423BF">
        <w:t xml:space="preserve"> по вопросам подготовки концессионных соглашений</w:t>
      </w:r>
    </w:p>
    <w:p w:rsidR="00663B65" w:rsidRDefault="00B423BF" w:rsidP="00663B65">
      <w:pPr>
        <w:ind w:left="4962" w:firstLine="0"/>
      </w:pPr>
      <w:r>
        <w:t xml:space="preserve"> 16 марта — семинар по вопросам исполнения норм законодательства в сфере градостроительной деятельности </w:t>
      </w:r>
    </w:p>
    <w:p w:rsidR="00663B65" w:rsidRDefault="00B423BF" w:rsidP="00663B65">
      <w:pPr>
        <w:ind w:left="4962" w:firstLine="0"/>
      </w:pPr>
      <w:r>
        <w:t xml:space="preserve">17 марта — «День консультаций» по вопросам реализации Ветеринарных правил содержания свиней в целях их воспроизводства, выращивания и реализации </w:t>
      </w:r>
    </w:p>
    <w:p w:rsidR="00B423BF" w:rsidRPr="00B423BF" w:rsidRDefault="00B423BF" w:rsidP="00663B65">
      <w:pPr>
        <w:ind w:left="4962" w:firstLine="0"/>
        <w:rPr>
          <w:rFonts w:cs="Roboto Bold"/>
          <w:b/>
          <w:bCs/>
          <w:caps/>
          <w:color w:val="3C3C3B"/>
          <w:sz w:val="32"/>
          <w:szCs w:val="32"/>
        </w:rPr>
      </w:pPr>
      <w:r>
        <w:t>24 марта — «День консультаций» по вопросам реализации молодежных программ и проектов</w:t>
      </w:r>
    </w:p>
    <w:p w:rsidR="00B423BF" w:rsidRPr="002F1462" w:rsidRDefault="00B423BF" w:rsidP="001C34D0">
      <w:pPr>
        <w:ind w:firstLine="0"/>
        <w:rPr>
          <w:rFonts w:cs="Roboto Bold"/>
          <w:b/>
          <w:bCs/>
          <w:i/>
          <w:caps/>
          <w:color w:val="3C3C3B"/>
          <w:sz w:val="32"/>
          <w:szCs w:val="32"/>
        </w:rPr>
      </w:pPr>
    </w:p>
    <w:sectPr w:rsidR="00B423BF" w:rsidRPr="002F1462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F5" w:rsidRDefault="00EF15F5" w:rsidP="002868CF">
      <w:r>
        <w:separator/>
      </w:r>
    </w:p>
  </w:endnote>
  <w:endnote w:type="continuationSeparator" w:id="0">
    <w:p w:rsidR="00EF15F5" w:rsidRDefault="00EF15F5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F5" w:rsidRDefault="00EF15F5" w:rsidP="002868CF">
      <w:r>
        <w:separator/>
      </w:r>
    </w:p>
  </w:footnote>
  <w:footnote w:type="continuationSeparator" w:id="0">
    <w:p w:rsidR="00EF15F5" w:rsidRDefault="00EF15F5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8" w:rsidRPr="00B05AC3" w:rsidRDefault="001635F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663B65">
      <w:rPr>
        <w:rFonts w:ascii="Myriad Pro" w:hAnsi="Myriad Pro"/>
        <w:color w:val="auto"/>
        <w:sz w:val="20"/>
        <w:szCs w:val="20"/>
      </w:rPr>
      <w:t>ЯНВАРЬ-МАРТ</w:t>
    </w:r>
    <w:r w:rsidR="00045EC1">
      <w:rPr>
        <w:rFonts w:ascii="Myriad Pro" w:hAnsi="Myriad Pro"/>
        <w:color w:val="auto"/>
        <w:sz w:val="20"/>
        <w:szCs w:val="20"/>
      </w:rPr>
      <w:t xml:space="preserve"> </w:t>
    </w:r>
    <w:r w:rsidR="00663B65">
      <w:rPr>
        <w:rFonts w:ascii="Myriad Pro" w:hAnsi="Myriad Pro"/>
        <w:color w:val="auto"/>
        <w:sz w:val="20"/>
        <w:szCs w:val="20"/>
      </w:rPr>
      <w:t xml:space="preserve"> 2017</w:t>
    </w:r>
  </w:p>
  <w:p w:rsidR="001635F8" w:rsidRDefault="00E61C51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1635F8" w:rsidRDefault="001635F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1635F8" w:rsidRPr="00B05AC3" w:rsidRDefault="001635F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8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45EC1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34D0"/>
    <w:rsid w:val="001C45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1462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53718"/>
    <w:rsid w:val="00663B65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2376"/>
    <w:rsid w:val="00774A04"/>
    <w:rsid w:val="00790C27"/>
    <w:rsid w:val="0079121A"/>
    <w:rsid w:val="007C4F27"/>
    <w:rsid w:val="007E6503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728AB"/>
    <w:rsid w:val="008B2592"/>
    <w:rsid w:val="008D11BA"/>
    <w:rsid w:val="00922C89"/>
    <w:rsid w:val="009372B5"/>
    <w:rsid w:val="00974C9F"/>
    <w:rsid w:val="009810DB"/>
    <w:rsid w:val="009B2B5E"/>
    <w:rsid w:val="009B662B"/>
    <w:rsid w:val="009C27E8"/>
    <w:rsid w:val="009D3CA0"/>
    <w:rsid w:val="00A04EE8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AD4C1A"/>
    <w:rsid w:val="00B05AC3"/>
    <w:rsid w:val="00B423BF"/>
    <w:rsid w:val="00B61B04"/>
    <w:rsid w:val="00B6671F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8089D"/>
    <w:rsid w:val="00D9051D"/>
    <w:rsid w:val="00DB6630"/>
    <w:rsid w:val="00DD150F"/>
    <w:rsid w:val="00DE16F9"/>
    <w:rsid w:val="00DF005D"/>
    <w:rsid w:val="00DF600E"/>
    <w:rsid w:val="00E0112B"/>
    <w:rsid w:val="00E25297"/>
    <w:rsid w:val="00E32589"/>
    <w:rsid w:val="00E43055"/>
    <w:rsid w:val="00E45587"/>
    <w:rsid w:val="00E53B3E"/>
    <w:rsid w:val="00E61C51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15F5"/>
    <w:rsid w:val="00EF66F0"/>
    <w:rsid w:val="00F306F1"/>
    <w:rsid w:val="00F401A3"/>
    <w:rsid w:val="00F60C8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paragraph" w:styleId="aff0">
    <w:name w:val="List Paragraph"/>
    <w:basedOn w:val="a"/>
    <w:uiPriority w:val="34"/>
    <w:qFormat/>
    <w:rsid w:val="0066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2018-01-16T09:32:00Z</dcterms:created>
  <dcterms:modified xsi:type="dcterms:W3CDTF">2018-01-16T09:32:00Z</dcterms:modified>
</cp:coreProperties>
</file>