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B" w:rsidRPr="0002165B" w:rsidRDefault="0002165B" w:rsidP="0002165B">
      <w:pPr>
        <w:autoSpaceDE w:val="0"/>
        <w:autoSpaceDN w:val="0"/>
        <w:adjustRightInd w:val="0"/>
        <w:spacing w:before="113"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02165B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в интересах потребителей</w:t>
      </w:r>
    </w:p>
    <w:p w:rsidR="0002165B" w:rsidRDefault="0002165B" w:rsidP="0002165B">
      <w:pPr>
        <w:pStyle w:val="afc"/>
        <w:jc w:val="left"/>
        <w:rPr>
          <w:rFonts w:asciiTheme="minorHAnsi" w:hAnsiTheme="minorHAnsi"/>
        </w:rPr>
      </w:pPr>
    </w:p>
    <w:p w:rsidR="0002165B" w:rsidRDefault="0002165B" w:rsidP="0002165B">
      <w:pPr>
        <w:pStyle w:val="afc"/>
        <w:jc w:val="left"/>
      </w:pPr>
      <w:r>
        <w:t xml:space="preserve">В настоящее время сетевая торговля стремительно развивается и сегодня уже трудно представить нашу жизнь без крупных торговых центров. Супермаркеты завлекают своим многообразием — в одном месте можно приобрести любой товар, от  </w:t>
      </w:r>
      <w:proofErr w:type="gramStart"/>
      <w:r>
        <w:t>продовольственного</w:t>
      </w:r>
      <w:proofErr w:type="gramEnd"/>
      <w:r>
        <w:t xml:space="preserve"> до бытового. И сегодня, когда происходит активное проникновение торговых сетей в сельскую глубинку, на органы местного самоуправления, в том числе, ложится непростая задача — найти баланс между интересами потребителей с одной стороны и интересами местного бизнеса,  да и бюджета, с другой стороны.</w:t>
      </w:r>
    </w:p>
    <w:p w:rsidR="001F0BA9" w:rsidRDefault="001F0BA9" w:rsidP="0002165B">
      <w:pPr>
        <w:rPr>
          <w:szCs w:val="20"/>
        </w:rPr>
      </w:pPr>
    </w:p>
    <w:p w:rsidR="0002165B" w:rsidRPr="0002165B" w:rsidRDefault="0002165B" w:rsidP="0002165B">
      <w:pPr>
        <w:keepNext/>
        <w:framePr w:dropCap="drop" w:lines="3" w:wrap="auto" w:vAnchor="text" w:hAnchor="text"/>
        <w:autoSpaceDE w:val="0"/>
        <w:autoSpaceDN w:val="0"/>
        <w:adjustRightInd w:val="0"/>
        <w:spacing w:after="0" w:line="180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pacing w:val="20"/>
          <w:sz w:val="87"/>
          <w:szCs w:val="87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pacing w:val="20"/>
          <w:sz w:val="87"/>
          <w:szCs w:val="87"/>
          <w:lang w:eastAsia="en-US"/>
        </w:rPr>
        <w:t>В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</w:t>
      </w:r>
      <w:proofErr w:type="gram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целях</w:t>
      </w:r>
      <w:proofErr w:type="gram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развития конкуренции федеральным законом о торговле было установлено ограничение размера доли одной сети. Так, если доля реализованных продовольственных товаров торговой сетью за предыдущий финансовый год в границах одного административно-территориального образования превышает 25 процентов, то торговая сеть больше не вправе приобретать или арендовать в соответствующих границах дополнительную площадь торговых объектов для осуществления торговой деятельности по любым основаниям. В случае осуществления торговой сетью торговой деятельности с нарушением данной статьи, такая сделка будет признана ничтожной.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Функции по </w:t>
      </w:r>
      <w:proofErr w:type="gram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контролю за</w:t>
      </w:r>
      <w:proofErr w:type="gram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соблюдением данного ограничения торговыми сетями в нашем регионе осуществляет Управление Федеральной антимонопольной службы по Томской области. Последний раз подобная проверка проводилась в 2016 году за отчетный 2015 год. По ее результатам было установлено, что ряд торговых сетей превысили установленную законодательством долю объема реализованных продовольственных товаров. Например, «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Фудcity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» </w:t>
      </w:r>
      <w:proofErr w:type="gram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в</w:t>
      </w:r>
      <w:proofErr w:type="gram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ЗАТО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Северск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, «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Холидей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» в  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Бакчарском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Верхнекетском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Зырянском,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Кривошеинском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Молчановском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Первомайском и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Тегульдетском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районах, «Мария-Ра» в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Кожевниковском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Асиновском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Бакчарском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Зырянском и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Кривошеинском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районах, «Ярче» и «Магнит» в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Шегарском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районе. 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Для потребителей тенденцию роста торговых сетей можно назвать положительной: увеличивается разнообразие продукции и ценовой категории, открываются новые торговые точки в отдаленных местностях Томской области и, соответственно, увеличивается возможность выбора покупателя. Но для малого бизнеса, безусловно, такая тенденция скорее является критичной. Ведь увеличение продаж у крупных торговых сетей происходит не за счет сокращения таких же гигантов, а за счет сокращения небольших магазинов, находящихся в шаговой доступности. Сначала они завлекают потребителей низкой ценой, чего, естественно, малый бизнес себе позволить не может. Но гарантии того, что цена не вырастет в дальнейшем, нет. При этом местные предприниматели уже не смогут восстановить свое дело.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В настоящее время в России идет дискуссия о необходимости более существенных ограничений для сетевой торговли. </w:t>
      </w:r>
      <w:proofErr w:type="gram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Например, для защиты малого бизнеса от экспансии крупных торговых сетей в 2016 году предлагалось внести изменения в Закон о торговле, заключающиеся в сокращении установленного предела развития одной торговой сети в границах административно-территориального образования с 25 до 10 процентов от объема всех реализованных продовольственных товаров в денежном выражении за предыдущий финансовый год.</w:t>
      </w:r>
      <w:proofErr w:type="gramEnd"/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Также предлагалось ограничить общее присутствие «иногородних торговых сетей» в границах административно-территориального образования не более чем 50 процентами. Проектируемая норма была отклонена в связи с несоответствием принципам единства экономического пространства в России, свободному перемещению товаров, услуг и финансовых средств и  поддержки конкуренции, поскольку это ограничивает присутствие иногородних торговых сетей в границах субъекта Российской Федерации, муниципального района, городского округа.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Буквально месяц назад предлагалось ограничить время работы больших гипермаркетов. «В субботу — до четырех часов вечера, в воскресенье — не работать вообще, а в будни — до девяти часов вечера, никаких 24-часовых гипермаркетов», — пояснял первый зампред комитета Совета Федерации по аграрно-продовольственной политике и природопользованию Сергей Федорович Лисовский (цитата по ТАСС). Но ни 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Минпромторг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, ни Минсельхоз, ни ФАС данную идею не поддержали, ведь при таких условиях может пострадать потребитель.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Помимо того, что мелкая розница не в состоянии противостоять такому нашествию крупных торговых сетей, так последние еще и налоги платят не на территории размещения, а по месту своей регистрации. А, как известно, подавляющее большинство сетей «прописано» за границей: «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MetroCash&amp;Carry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» (Германия), «Лента» (Британские Виргинские острова), «Магнит» (Кипрский оффшор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Lavreno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</w:t>
      </w:r>
      <w:proofErr w:type="spellStart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Ltd</w:t>
      </w:r>
      <w:proofErr w:type="spellEnd"/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.). Соответственно из налогов в местный бюджет такие торговые сети платят только НДФЛ, что естественно отрицательно сказывается на собственных доходах местных бюджетов.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Именно поэтому в сегодняшней ситуации органам местного самоуправления просто необходимо держать «руку на пульсе». В свою очередь Томское УФАС России как федеральный орган исполнительный власти, заинтересованный в развитии конкуренции на потребительском рынке, будет и в дальнейшем осуществлять контроль крупных торговых сетей и пресекать нарушения законодательства. 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before="113" w:after="0"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>В Томской области первое место по количеству торговых объектов занимает торговая сеть «Мария-Ра» – 81 объект, второе место торговая сеть «Ярче» – 59 торговых объектов, на третьем месте торговая сеть «Абрикос» – 52 торговых объекта.</w:t>
      </w:r>
    </w:p>
    <w:p w:rsidR="0002165B" w:rsidRDefault="0002165B" w:rsidP="0002165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32"/>
          <w:szCs w:val="32"/>
          <w:lang w:eastAsia="en-US"/>
        </w:rPr>
      </w:pPr>
    </w:p>
    <w:p w:rsidR="0002165B" w:rsidRPr="0002165B" w:rsidRDefault="0002165B" w:rsidP="0002165B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2"/>
          <w:szCs w:val="32"/>
          <w:lang w:eastAsia="en-US"/>
        </w:rPr>
      </w:pPr>
      <w:r w:rsidRPr="0002165B">
        <w:rPr>
          <w:rFonts w:ascii="Roboto Bold" w:eastAsiaTheme="minorHAnsi" w:hAnsi="Roboto Bold" w:cs="Roboto Bold"/>
          <w:b/>
          <w:bCs/>
          <w:color w:val="3C3C3B"/>
          <w:sz w:val="32"/>
          <w:szCs w:val="32"/>
          <w:lang w:eastAsia="en-US"/>
        </w:rPr>
        <w:t>Для справки: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18"/>
          <w:szCs w:val="18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18"/>
          <w:szCs w:val="18"/>
          <w:lang w:eastAsia="en-US"/>
        </w:rPr>
        <w:t xml:space="preserve">Во многих развитых странах существует отдельная поддержка именно торгового малого предпринимательства в различной форме. Так, в некоторых зарубежных странах существуют Законы о времени работы магазинов. Согласно им крупные торговые сети должны закрываться к определенному времени. Например, в Финляндии, разрешённое время работы магазинов — с 7 до 21 часов в будни и между 7 и 18 часов по субботам. В Германии торговля по воскресеньям вообще запрещена, за нарушение этого правила можно лишиться лицензии. </w:t>
      </w: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18"/>
          <w:szCs w:val="18"/>
          <w:lang w:eastAsia="en-US"/>
        </w:rPr>
      </w:pPr>
    </w:p>
    <w:p w:rsidR="0002165B" w:rsidRPr="0002165B" w:rsidRDefault="0002165B" w:rsidP="0002165B">
      <w:pPr>
        <w:autoSpaceDE w:val="0"/>
        <w:autoSpaceDN w:val="0"/>
        <w:adjustRightInd w:val="0"/>
        <w:spacing w:after="0" w:line="288" w:lineRule="auto"/>
        <w:ind w:firstLine="283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18"/>
          <w:szCs w:val="18"/>
          <w:lang w:eastAsia="en-US"/>
        </w:rPr>
      </w:pPr>
      <w:r w:rsidRPr="0002165B">
        <w:rPr>
          <w:rFonts w:ascii="PT Serif Caption Regular" w:eastAsiaTheme="minorHAnsi" w:hAnsi="PT Serif Caption Regular" w:cs="PT Serif Caption Regular"/>
          <w:color w:val="3C3C3B"/>
          <w:sz w:val="18"/>
          <w:szCs w:val="18"/>
          <w:lang w:eastAsia="en-US"/>
        </w:rPr>
        <w:t xml:space="preserve">В Англии небольшие магазины (площадью до 280 кв. м.) имеют право работать по воскресеньям без ограничений, все остальные – только в течение шести часов. В США время работы магазинов практически никак не регулируется, однако в некоторых штатах существуют ограничения на продажу алкоголя по воскресеньям (например, в Арканзасе и Индиане). </w:t>
      </w:r>
    </w:p>
    <w:p w:rsidR="0002165B" w:rsidRPr="0002165B" w:rsidRDefault="0002165B" w:rsidP="0002165B">
      <w:pPr>
        <w:rPr>
          <w:szCs w:val="20"/>
        </w:rPr>
      </w:pPr>
    </w:p>
    <w:sectPr w:rsidR="0002165B" w:rsidRPr="0002165B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8" w:rsidRDefault="001635F8" w:rsidP="002868CF">
      <w:r>
        <w:separator/>
      </w:r>
    </w:p>
  </w:endnote>
  <w:endnote w:type="continuationSeparator" w:id="0">
    <w:p w:rsidR="001635F8" w:rsidRDefault="001635F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8" w:rsidRDefault="001635F8" w:rsidP="002868CF">
      <w:r>
        <w:separator/>
      </w:r>
    </w:p>
  </w:footnote>
  <w:footnote w:type="continuationSeparator" w:id="0">
    <w:p w:rsidR="001635F8" w:rsidRDefault="001635F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8" w:rsidRPr="00B05AC3" w:rsidRDefault="001635F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АПРЕЛЬ - МАЙ 2017</w:t>
    </w:r>
  </w:p>
  <w:p w:rsidR="001635F8" w:rsidRDefault="0083328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635F8" w:rsidRDefault="001635F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635F8" w:rsidRPr="00B05AC3" w:rsidRDefault="001635F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2165B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3718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7564"/>
    <w:rsid w:val="00802D21"/>
    <w:rsid w:val="00806ABB"/>
    <w:rsid w:val="008317D0"/>
    <w:rsid w:val="0083328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19</cp:revision>
  <dcterms:created xsi:type="dcterms:W3CDTF">2017-06-16T08:05:00Z</dcterms:created>
  <dcterms:modified xsi:type="dcterms:W3CDTF">2017-06-16T09:25:00Z</dcterms:modified>
</cp:coreProperties>
</file>