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A0" w:rsidRDefault="00F656A0" w:rsidP="00F656A0">
      <w:pPr>
        <w:pStyle w:val="af3"/>
        <w:rPr>
          <w:rFonts w:ascii="Roboto Black" w:hAnsi="Roboto Black" w:cs="Roboto Black"/>
          <w:sz w:val="72"/>
          <w:szCs w:val="72"/>
          <w:lang w:val="ru-RU"/>
        </w:rPr>
      </w:pPr>
      <w:r>
        <w:rPr>
          <w:rFonts w:ascii="Roboto Black" w:hAnsi="Roboto Black" w:cs="Roboto Black"/>
          <w:sz w:val="72"/>
          <w:szCs w:val="72"/>
          <w:lang w:val="ru-RU"/>
        </w:rPr>
        <w:t>СОБЫТИЯ ПЕРВОГО КВАРТАЛА</w:t>
      </w:r>
    </w:p>
    <w:p w:rsidR="00F656A0" w:rsidRPr="00F656A0" w:rsidRDefault="00F656A0" w:rsidP="00F656A0">
      <w:pPr>
        <w:pStyle w:val="af3"/>
        <w:rPr>
          <w:rFonts w:ascii="Roboto" w:hAnsi="Roboto" w:cs="Roboto"/>
          <w:b/>
          <w:bCs/>
          <w:w w:val="80"/>
          <w:sz w:val="28"/>
          <w:szCs w:val="28"/>
          <w:lang w:val="ru-RU"/>
        </w:rPr>
      </w:pPr>
      <w:r w:rsidRPr="00F656A0">
        <w:rPr>
          <w:rFonts w:ascii="Roboto" w:hAnsi="Roboto" w:cs="Roboto"/>
          <w:b/>
          <w:bCs/>
          <w:w w:val="80"/>
          <w:sz w:val="28"/>
          <w:szCs w:val="28"/>
          <w:lang w:val="ru-RU"/>
        </w:rPr>
        <w:t>В первом квартале 2016 года в Совете муниципальных образований Томской области прошло больше десятка различных мероприятий. Настоящий дайджест представляет краткий обзор некоторых из них. Аудио, видео и иные материалы данных мероприятий можно получить в Исполнительной дирекции.</w:t>
      </w:r>
    </w:p>
    <w:p w:rsidR="00F656A0" w:rsidRDefault="00F656A0" w:rsidP="00F656A0">
      <w:pPr>
        <w:pStyle w:val="af3"/>
        <w:jc w:val="both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F656A0" w:rsidRDefault="00F656A0" w:rsidP="00F656A0">
      <w:pPr>
        <w:pStyle w:val="af3"/>
        <w:jc w:val="both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F656A0">
        <w:rPr>
          <w:rFonts w:ascii="Roboto" w:hAnsi="Roboto" w:cs="Roboto"/>
          <w:b/>
          <w:bCs/>
          <w:w w:val="80"/>
          <w:sz w:val="36"/>
          <w:szCs w:val="36"/>
          <w:lang w:val="ru-RU"/>
        </w:rPr>
        <w:t>Правила хорошего сервиса</w:t>
      </w:r>
    </w:p>
    <w:p w:rsidR="00F656A0" w:rsidRDefault="00F656A0" w:rsidP="00F656A0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 конце февраля состоялся семинар, посвященный вопросам разработки административных регламентов предоставления муниципальных услуг. С разъяснениями норм действующего законодательства выступили специалисты Комитета по государственно-правовым вопросам Администрации Томской области.</w:t>
      </w:r>
    </w:p>
    <w:p w:rsidR="00F656A0" w:rsidRDefault="00F656A0" w:rsidP="00F656A0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своем вступительном слове Толокнова Юлия Васильевна — консультант отдела по работе с правовыми актами муниципальных образований отметила, что федеральный закон об организации предоставления государственных и муниципальных услуг был принят в июле 2010 года. Но, несмотря на довольно большой срок со дня его принятия, вопросы по-прежнему возникают. </w:t>
      </w:r>
    </w:p>
    <w:p w:rsidR="00F656A0" w:rsidRDefault="00F656A0" w:rsidP="00F656A0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 частности, муниципальные услуги нередко путают с муниципальными функциями, которые осуществляются без подачи заявления заявителем, но предполагают взаимодействие с юридическими лицами, индивидуальными предпринимателями и гражданами.</w:t>
      </w:r>
    </w:p>
    <w:p w:rsidR="00F656A0" w:rsidRDefault="00F656A0" w:rsidP="00F656A0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 ходе мероприятия также подробно рассматривались требования к структуре административных регламентов, требования к их разработке и утверждению.</w:t>
      </w:r>
    </w:p>
    <w:p w:rsidR="00F656A0" w:rsidRDefault="00F656A0" w:rsidP="00F656A0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Оживленная дискуссия возникла по поводу реализации областного закона о социальной поддержке инвалидов. Законом установлено, что органы местного самоуправления создают условия для беспрепятственного доступа инвалидов к объектам социальной, транспортной и инженерной инфраструктуры. Однако положения о том, какие именно должны быть созданы условия, отсутствуют. </w:t>
      </w:r>
    </w:p>
    <w:p w:rsidR="00F656A0" w:rsidRDefault="00F656A0" w:rsidP="00F656A0">
      <w:pPr>
        <w:pStyle w:val="ab"/>
        <w:rPr>
          <w:rFonts w:ascii="PT Serif Caption" w:hAnsi="PT Serif Caption" w:cs="PT Serif Caption"/>
        </w:rPr>
      </w:pPr>
      <w:r w:rsidRPr="00F656A0">
        <w:rPr>
          <w:rFonts w:ascii="PT Serif Caption" w:hAnsi="PT Serif Caption" w:cs="PT Serif Caption"/>
        </w:rPr>
        <w:t>Участники семинара сошлись на мнении, что исходить нужно из реально существующей необходимости обеспечить свободный доступ инвалидам в помещения, где предоставляются муниципальные услуги. И все возможные меры по обеспечению доступности таких объектов отразить в регламентах.</w:t>
      </w:r>
    </w:p>
    <w:p w:rsidR="005A0727" w:rsidRDefault="005A0727" w:rsidP="00F656A0">
      <w:pPr>
        <w:pStyle w:val="ab"/>
        <w:rPr>
          <w:rFonts w:ascii="PT Serif Caption" w:hAnsi="PT Serif Caption" w:cs="PT Serif Caption"/>
        </w:rPr>
      </w:pPr>
    </w:p>
    <w:p w:rsidR="005A0727" w:rsidRP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>«ЗА» качество регистра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С июля 2015 года, согласно изменениям областного законодательства, регулирующего порядок организации и ведения Регистра муниципальных нормативных правовых актов в Томской области, стало возможным исключить бумажный документооборот в данной сфере. Сведения, подлежащие включению в Регистр, могут направляться органами местного самоуправления исключительно в электронном виде.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Об этом в ходе очередного семинара в Совете напомнил представителям муниципалитетов Суханов Александр Владимирович, консультант отдела по работе с правовыми актами муниципальных образований Комитета по государственно-правовым вопросам Администрации Томской области.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На февраль 2016 года в Федеральном регистре содержались сведения относительно: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4 698 661 муниципальных нормативных правовых актов,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37 693 из них – акты органов местного самоуправления Томской области.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Напомнить об установленных правилах и рассказать о типичных нарушениях, допускаемых при предоставлении информации для наполнения Регистра – такую цель преследовало данное мероприятие. </w:t>
      </w:r>
      <w:r>
        <w:rPr>
          <w:rFonts w:ascii="PT Serif Caption" w:hAnsi="PT Serif Caption" w:cs="PT Serif Caption"/>
        </w:rPr>
        <w:lastRenderedPageBreak/>
        <w:t>Ведь эта работа ведется уже более семи лет. В частности, на сегодняшний день еще наблюдаются некоторые проблемы в части соблюдения сроков предоставления сопроводительных писем и актов, а также соблюдения правил их оформления. Не всегда предоставляются актуальные редакции муниципальных правовых актов, а также дополнительные сведения к ним.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Особый интерес слушателей вызвал вопрос о содержании указанных дополнительных сведений.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— Органы местного самоуправления прилагают акты прокурорского реагирования, принятые в отношении муниципальных нормативных правовых актов (протесты, представления, заявления в суд); решения, постановления и определения судебных органов; предписания антимонопольных органов, — отметил Александр Владимирович. — А Комитет дополняет представленные сведения своим экспертным заключением о соответствии муниципального правового акта требованиям действующего законодательства.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Представители муниципалитетов также познакомились и с результатами проводимой Комитетом экспертизы муниципальных нормативных правовых актов.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Стоит сказать, что на протяжении последних двух лет количество отрицательных заключений на принятые муниципальные нормативные правовые акты значительно снизилось, что свидетельствует о повышении качества муниципального нормотворчества.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</w:p>
    <w:p w:rsidR="005A0727" w:rsidRP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 xml:space="preserve">Включите свет </w:t>
      </w:r>
      <w:proofErr w:type="spellStart"/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>энергосервису</w:t>
      </w:r>
      <w:proofErr w:type="spellEnd"/>
    </w:p>
    <w:p w:rsidR="005A0727" w:rsidRDefault="005A0727" w:rsidP="005A0727">
      <w:pPr>
        <w:pStyle w:val="ab"/>
        <w:ind w:firstLine="0"/>
        <w:rPr>
          <w:rFonts w:ascii="PT Serif Caption" w:hAnsi="PT Serif Caption" w:cs="PT Serif Caption"/>
          <w:i/>
          <w:iCs/>
          <w:sz w:val="22"/>
          <w:szCs w:val="22"/>
        </w:rPr>
      </w:pPr>
      <w:r>
        <w:rPr>
          <w:rFonts w:ascii="PT Serif Caption" w:hAnsi="PT Serif Caption" w:cs="PT Serif Caption"/>
          <w:i/>
          <w:iCs/>
          <w:sz w:val="22"/>
          <w:szCs w:val="22"/>
        </w:rPr>
        <w:t xml:space="preserve">О том, какая экономия может быть достигнута от внедрения </w:t>
      </w:r>
      <w:proofErr w:type="spellStart"/>
      <w:r>
        <w:rPr>
          <w:rFonts w:ascii="PT Serif Caption" w:hAnsi="PT Serif Caption" w:cs="PT Serif Caption"/>
          <w:i/>
          <w:iCs/>
          <w:sz w:val="22"/>
          <w:szCs w:val="22"/>
        </w:rPr>
        <w:t>энергосервисных</w:t>
      </w:r>
      <w:proofErr w:type="spellEnd"/>
      <w:r>
        <w:rPr>
          <w:rFonts w:ascii="PT Serif Caption" w:hAnsi="PT Serif Caption" w:cs="PT Serif Caption"/>
          <w:i/>
          <w:iCs/>
          <w:sz w:val="22"/>
          <w:szCs w:val="22"/>
        </w:rPr>
        <w:t xml:space="preserve"> контрактов, муниципалы еще раз смогли убедиться на примере проекта по модернизации уличного освещения, который в прошлом году был реализован в Первомайском поселении.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Одним из первых в России заключать </w:t>
      </w:r>
      <w:proofErr w:type="spellStart"/>
      <w:r>
        <w:rPr>
          <w:rFonts w:ascii="PT Serif Caption" w:hAnsi="PT Serif Caption" w:cs="PT Serif Caption"/>
        </w:rPr>
        <w:t>энергосервисные</w:t>
      </w:r>
      <w:proofErr w:type="spellEnd"/>
      <w:r>
        <w:rPr>
          <w:rFonts w:ascii="PT Serif Caption" w:hAnsi="PT Serif Caption" w:cs="PT Serif Caption"/>
        </w:rPr>
        <w:t xml:space="preserve"> контракты с бюджетными предприятиями начал «</w:t>
      </w:r>
      <w:proofErr w:type="spellStart"/>
      <w:r>
        <w:rPr>
          <w:rFonts w:ascii="PT Serif Caption" w:hAnsi="PT Serif Caption" w:cs="PT Serif Caption"/>
        </w:rPr>
        <w:t>Томскэнергосбыт</w:t>
      </w:r>
      <w:proofErr w:type="spellEnd"/>
      <w:r>
        <w:rPr>
          <w:rFonts w:ascii="PT Serif Caption" w:hAnsi="PT Serif Caption" w:cs="PT Serif Caption"/>
        </w:rPr>
        <w:t>». В 2012 году было заключено три таких контракта. После проведенных мероприятий снижение затрат произошло во всех учреждениях. Например, в гимназии №16 экономия по теплу составила 62% (по договору планировалось 40%), по воде и электричеству – 10%.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Все технические мероприятия в рамках Первомайского проекта были проведены всего за 90 календарных дней: старые уличные светильники ДРЛ РКУ заменены светодиодными, установлены программируемые таймеры включения и выключения, а также автоматизированные системы контроля и учёта энергоресурсов.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По сути, все эти технические решения основаны на принципах разумной достаточности: позволяют регулировать длительность освещения, в автоматическом режиме собирать данные по потреблению, определять по косвенным признакам исправность светильников.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Объем инвестиций по проекту составил 3,767 миллионов рублей.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Что касается распределения экономии, в контракте была применена схема 90 на 10: за ПАО «</w:t>
      </w:r>
      <w:proofErr w:type="spellStart"/>
      <w:r>
        <w:rPr>
          <w:rFonts w:ascii="PT Serif Caption" w:hAnsi="PT Serif Caption" w:cs="PT Serif Caption"/>
        </w:rPr>
        <w:t>Томскэнергосбыт</w:t>
      </w:r>
      <w:proofErr w:type="spellEnd"/>
      <w:r>
        <w:rPr>
          <w:rFonts w:ascii="PT Serif Caption" w:hAnsi="PT Serif Caption" w:cs="PT Serif Caption"/>
        </w:rPr>
        <w:t>» закреплено 90% от суммы экономии, в бюджет Первомайского сельского поселения направлено 10% — это 771 тысяча рублей за срок действия контракта.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Проект презентовали Дроздов Артём Александрович,    председатель </w:t>
      </w:r>
      <w:proofErr w:type="gramStart"/>
      <w:r>
        <w:rPr>
          <w:rFonts w:ascii="PT Serif Caption" w:hAnsi="PT Serif Caption" w:cs="PT Serif Caption"/>
        </w:rPr>
        <w:t>Комитета координации реформы энергосбережения областного Департамента энергетики</w:t>
      </w:r>
      <w:proofErr w:type="gramEnd"/>
      <w:r>
        <w:rPr>
          <w:rFonts w:ascii="PT Serif Caption" w:hAnsi="PT Serif Caption" w:cs="PT Serif Caption"/>
        </w:rPr>
        <w:t xml:space="preserve"> и Дмитриев Александр Владимирович, руководитель Томского консультационно-образовательного центра ресурсосбережения и </w:t>
      </w:r>
      <w:proofErr w:type="spellStart"/>
      <w:r>
        <w:rPr>
          <w:rFonts w:ascii="PT Serif Caption" w:hAnsi="PT Serif Caption" w:cs="PT Serif Caption"/>
        </w:rPr>
        <w:t>энергоэффективности</w:t>
      </w:r>
      <w:proofErr w:type="spellEnd"/>
      <w:r>
        <w:rPr>
          <w:rFonts w:ascii="PT Serif Caption" w:hAnsi="PT Serif Caption" w:cs="PT Serif Caption"/>
        </w:rPr>
        <w:t>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Как отметили ведущие, во всем мире уличное освещение является классическим объектом применения механизма </w:t>
      </w:r>
      <w:proofErr w:type="spellStart"/>
      <w:r>
        <w:rPr>
          <w:rFonts w:ascii="PT Serif Caption" w:hAnsi="PT Serif Caption" w:cs="PT Serif Caption"/>
        </w:rPr>
        <w:t>энергосервисных</w:t>
      </w:r>
      <w:proofErr w:type="spellEnd"/>
      <w:r>
        <w:rPr>
          <w:rFonts w:ascii="PT Serif Caption" w:hAnsi="PT Serif Caption" w:cs="PT Serif Caption"/>
        </w:rPr>
        <w:t xml:space="preserve"> контрактов. Тем не менее, несмотря на очевидные преимущества такой формы договорных отношений, существуют и некоторые сдерживающие факторы. Например, достаточно скромный лимит на уличное освещение. </w:t>
      </w:r>
      <w:proofErr w:type="spellStart"/>
      <w:r>
        <w:rPr>
          <w:rFonts w:ascii="PT Serif Caption" w:hAnsi="PT Serif Caption" w:cs="PT Serif Caption"/>
        </w:rPr>
        <w:t>Энергосервисные</w:t>
      </w:r>
      <w:proofErr w:type="spellEnd"/>
      <w:r>
        <w:rPr>
          <w:rFonts w:ascii="PT Serif Caption" w:hAnsi="PT Serif Caption" w:cs="PT Serif Caption"/>
        </w:rPr>
        <w:t xml:space="preserve"> компании не могут выстроить окупаемость проекта при установленной по действующим лимитам продолжительности освещения. Одним из первых </w:t>
      </w:r>
      <w:r>
        <w:rPr>
          <w:rFonts w:ascii="PT Serif Caption" w:hAnsi="PT Serif Caption" w:cs="PT Serif Caption"/>
        </w:rPr>
        <w:lastRenderedPageBreak/>
        <w:t xml:space="preserve">в России заключать </w:t>
      </w:r>
      <w:proofErr w:type="spellStart"/>
      <w:r>
        <w:rPr>
          <w:rFonts w:ascii="PT Serif Caption" w:hAnsi="PT Serif Caption" w:cs="PT Serif Caption"/>
        </w:rPr>
        <w:t>энергосервисные</w:t>
      </w:r>
      <w:proofErr w:type="spellEnd"/>
      <w:r>
        <w:rPr>
          <w:rFonts w:ascii="PT Serif Caption" w:hAnsi="PT Serif Caption" w:cs="PT Serif Caption"/>
        </w:rPr>
        <w:t xml:space="preserve"> контракты с бюджетными предприятиями начал «</w:t>
      </w:r>
      <w:proofErr w:type="spellStart"/>
      <w:r>
        <w:rPr>
          <w:rFonts w:ascii="PT Serif Caption" w:hAnsi="PT Serif Caption" w:cs="PT Serif Caption"/>
        </w:rPr>
        <w:t>Томскэнергосбыт</w:t>
      </w:r>
      <w:proofErr w:type="spellEnd"/>
      <w:r>
        <w:rPr>
          <w:rFonts w:ascii="PT Serif Caption" w:hAnsi="PT Serif Caption" w:cs="PT Serif Caption"/>
        </w:rPr>
        <w:t>». В 2012 году было заключено три таких контракта. После проведенных мероприятий снижение затрат произошло во всех учреждениях. Например, в гимназии №16 экономия по теплу составила 62% (по договору планировалось 40%), по воде и электричеству – 10%.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Все технические мероприятия в рамках Первомайского проекта были проведены всего за 90 календарных дней: старые уличные светильники ДРЛ РКУ заменены светодиодными, установлены программируемые таймеры включения и выключения, а также автоматизированные системы контроля и учёта энергоресурсов.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По сути, все эти технические решения основаны на принципах разумной достаточности: позволяют регулировать длительность освещения, в автоматическом режиме собирать данные по потреблению, определять по косвенным признакам исправность светильников.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Объем инвестиций по проекту составил 3,767 миллионов рублей.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Что касается распределения экономии, в контракте была применена схема 90 на 10: за ПАО «</w:t>
      </w:r>
      <w:proofErr w:type="spellStart"/>
      <w:r>
        <w:rPr>
          <w:rFonts w:ascii="PT Serif Caption" w:hAnsi="PT Serif Caption" w:cs="PT Serif Caption"/>
        </w:rPr>
        <w:t>Томскэнергосбыт</w:t>
      </w:r>
      <w:proofErr w:type="spellEnd"/>
      <w:r>
        <w:rPr>
          <w:rFonts w:ascii="PT Serif Caption" w:hAnsi="PT Serif Caption" w:cs="PT Serif Caption"/>
        </w:rPr>
        <w:t>» закреплено 90% от суммы экономии, в бюджет Первомайского сельского поселения направлено 10% — это 771 тысяча рублей за срок действия контракта.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Проект презентовали Дроздов Артём Александрович,    председатель </w:t>
      </w:r>
      <w:proofErr w:type="gramStart"/>
      <w:r>
        <w:rPr>
          <w:rFonts w:ascii="PT Serif Caption" w:hAnsi="PT Serif Caption" w:cs="PT Serif Caption"/>
        </w:rPr>
        <w:t>Комитета координации реформы энергосбережения областного Департамента энергетики</w:t>
      </w:r>
      <w:proofErr w:type="gramEnd"/>
      <w:r>
        <w:rPr>
          <w:rFonts w:ascii="PT Serif Caption" w:hAnsi="PT Serif Caption" w:cs="PT Serif Caption"/>
        </w:rPr>
        <w:t xml:space="preserve"> и Дмитриев Александр Владимирович, руководитель Томского консультационно-образовательного центра ресурсосбережения и </w:t>
      </w:r>
      <w:proofErr w:type="spellStart"/>
      <w:r>
        <w:rPr>
          <w:rFonts w:ascii="PT Serif Caption" w:hAnsi="PT Serif Caption" w:cs="PT Serif Caption"/>
        </w:rPr>
        <w:t>энергоэффективности</w:t>
      </w:r>
      <w:proofErr w:type="spellEnd"/>
      <w:r>
        <w:rPr>
          <w:rFonts w:ascii="PT Serif Caption" w:hAnsi="PT Serif Caption" w:cs="PT Serif Caption"/>
        </w:rPr>
        <w:t>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Как отметили ведущие, во всем мире уличное освещение является классическим объектом применения механизма </w:t>
      </w:r>
      <w:proofErr w:type="spellStart"/>
      <w:r>
        <w:rPr>
          <w:rFonts w:ascii="PT Serif Caption" w:hAnsi="PT Serif Caption" w:cs="PT Serif Caption"/>
        </w:rPr>
        <w:t>энергосервисных</w:t>
      </w:r>
      <w:proofErr w:type="spellEnd"/>
      <w:r>
        <w:rPr>
          <w:rFonts w:ascii="PT Serif Caption" w:hAnsi="PT Serif Caption" w:cs="PT Serif Caption"/>
        </w:rPr>
        <w:t xml:space="preserve"> контрактов. Тем не менее, несмотря на очевидные преимущества такой формы договорных отношений, существуют и некоторые сдерживающие факторы. Например, достаточно скромный лимит на уличное освещение. </w:t>
      </w:r>
      <w:proofErr w:type="spellStart"/>
      <w:r>
        <w:rPr>
          <w:rFonts w:ascii="PT Serif Caption" w:hAnsi="PT Serif Caption" w:cs="PT Serif Caption"/>
        </w:rPr>
        <w:t>Энергосервисные</w:t>
      </w:r>
      <w:proofErr w:type="spellEnd"/>
      <w:r>
        <w:rPr>
          <w:rFonts w:ascii="PT Serif Caption" w:hAnsi="PT Serif Caption" w:cs="PT Serif Caption"/>
        </w:rPr>
        <w:t xml:space="preserve"> компании не могут выстроить окупаемость проекта при установленной по действующим лимитам продолжительности освещения.</w:t>
      </w:r>
    </w:p>
    <w:p w:rsid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5A0727" w:rsidRPr="005A0727" w:rsidRDefault="005A0727" w:rsidP="00317B7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>Буква закона</w:t>
      </w:r>
    </w:p>
    <w:p w:rsidR="005A0727" w:rsidRPr="00317B74" w:rsidRDefault="005A0727" w:rsidP="00317B7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317B74">
        <w:rPr>
          <w:rFonts w:ascii="PT Serif Caption" w:hAnsi="PT Serif Caption" w:cs="PT Serif Caption"/>
          <w:sz w:val="22"/>
          <w:szCs w:val="22"/>
        </w:rPr>
        <w:t xml:space="preserve">По условиям </w:t>
      </w:r>
      <w:proofErr w:type="spellStart"/>
      <w:r w:rsidRPr="00317B74">
        <w:rPr>
          <w:rFonts w:ascii="PT Serif Caption" w:hAnsi="PT Serif Caption" w:cs="PT Serif Caption"/>
          <w:sz w:val="22"/>
          <w:szCs w:val="22"/>
        </w:rPr>
        <w:t>энергосервисных</w:t>
      </w:r>
      <w:proofErr w:type="spellEnd"/>
      <w:r w:rsidRPr="00317B74">
        <w:rPr>
          <w:rFonts w:ascii="PT Serif Caption" w:hAnsi="PT Serif Caption" w:cs="PT Serif Caption"/>
          <w:sz w:val="22"/>
          <w:szCs w:val="22"/>
        </w:rPr>
        <w:t xml:space="preserve"> контрактов с целью снижения платежей за тепло, воду и электроэнергию исполнитель на свои средства устанавливает на объекте новое оборудование либо проводит его реконструкцию и оптимизирует использование ресурсов.</w:t>
      </w:r>
    </w:p>
    <w:p w:rsidR="005A0727" w:rsidRPr="00317B74" w:rsidRDefault="005A0727" w:rsidP="00317B7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317B74">
        <w:rPr>
          <w:rFonts w:ascii="PT Serif Caption" w:hAnsi="PT Serif Caption" w:cs="PT Serif Caption"/>
          <w:sz w:val="22"/>
          <w:szCs w:val="22"/>
        </w:rPr>
        <w:t>В случае, если экономический эффект достигнут, заказчик в течение установленного договором срока возвращает исполнителю вложенные средства.</w:t>
      </w:r>
    </w:p>
    <w:p w:rsidR="005A0727" w:rsidRDefault="005A0727" w:rsidP="005A0727">
      <w:pPr>
        <w:pStyle w:val="ab"/>
        <w:ind w:firstLine="0"/>
        <w:rPr>
          <w:rFonts w:ascii="PT Serif Caption" w:hAnsi="PT Serif Caption" w:cs="PT Serif Caption"/>
        </w:rPr>
      </w:pPr>
    </w:p>
    <w:p w:rsidR="00317B74" w:rsidRDefault="00317B74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5A0727" w:rsidRP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>Концессии в сфере ЖКХ</w:t>
      </w:r>
    </w:p>
    <w:p w:rsidR="005A0727" w:rsidRDefault="005A0727" w:rsidP="005A0727">
      <w:pPr>
        <w:pStyle w:val="ab"/>
        <w:ind w:firstLine="0"/>
        <w:rPr>
          <w:rFonts w:ascii="PT Serif Caption" w:hAnsi="PT Serif Caption" w:cs="PT Serif Caption"/>
          <w:i/>
          <w:iCs/>
          <w:sz w:val="22"/>
          <w:szCs w:val="22"/>
        </w:rPr>
      </w:pPr>
      <w:r>
        <w:rPr>
          <w:rFonts w:ascii="PT Serif Caption" w:hAnsi="PT Serif Caption" w:cs="PT Serif Caption"/>
          <w:i/>
          <w:iCs/>
          <w:sz w:val="22"/>
          <w:szCs w:val="22"/>
        </w:rPr>
        <w:t>Министерство строительства и жилищно-коммунального хозяйства Российской Федерации предлагает с 2018 года упразднить такую форму хозяйствования в ЖКХ как унитарные предприятия, передав их в концессию.</w:t>
      </w:r>
      <w:r>
        <w:rPr>
          <w:rFonts w:ascii="PT Serif Caption" w:hAnsi="PT Serif Caption" w:cs="PT Serif Caption"/>
          <w:i/>
          <w:iCs/>
        </w:rPr>
        <w:t xml:space="preserve">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О том, как работает эта модель государственно-частного партнерства специалисты муниципалитетов разбирались под руководством </w:t>
      </w:r>
      <w:proofErr w:type="spellStart"/>
      <w:r>
        <w:rPr>
          <w:rFonts w:ascii="PT Serif Caption" w:hAnsi="PT Serif Caption" w:cs="PT Serif Caption"/>
        </w:rPr>
        <w:t>Супренова</w:t>
      </w:r>
      <w:proofErr w:type="spellEnd"/>
      <w:r>
        <w:rPr>
          <w:rFonts w:ascii="PT Serif Caption" w:hAnsi="PT Serif Caption" w:cs="PT Serif Caption"/>
        </w:rPr>
        <w:t xml:space="preserve"> Николая Викторовича, заместителя </w:t>
      </w:r>
      <w:proofErr w:type="gramStart"/>
      <w:r>
        <w:rPr>
          <w:rFonts w:ascii="PT Serif Caption" w:hAnsi="PT Serif Caption" w:cs="PT Serif Caption"/>
        </w:rPr>
        <w:t>председателя комитета развития коммунального комплекса Департамента ЖКХ</w:t>
      </w:r>
      <w:proofErr w:type="gramEnd"/>
      <w:r>
        <w:rPr>
          <w:rFonts w:ascii="PT Serif Caption" w:hAnsi="PT Serif Caption" w:cs="PT Serif Caption"/>
        </w:rPr>
        <w:t xml:space="preserve"> и государственного жилищного надзора Томской области. Семинар по этому вопросу проходил в Совете 3 марта 2016 года.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– Законодательство о концессионных соглашениях на протяжении последних лет претерпело значительные изменения, – начал обсуждение Николай Викторович. – И у нас теперь не осталось иного </w:t>
      </w:r>
      <w:r>
        <w:rPr>
          <w:rFonts w:ascii="PT Serif Caption" w:hAnsi="PT Serif Caption" w:cs="PT Serif Caption"/>
        </w:rPr>
        <w:lastRenderedPageBreak/>
        <w:t xml:space="preserve">механизма передачи муниципального имущества, сетей тепло- и водоснабжения, водоотведения, кроме как в концессию.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Есть небольшая оговорка, что допускается долгосрочный договор аренды, но это допущение действует только в отношении новых объектов. Если срок ввода объекта в эксплуатацию свыше 5 лет, либо этот срок установить невозможно – только концессия.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По новым правилам в концессию должны передаваться только неэффективные предприятия. Активный процесс передачи таких объектов начат с 2015 года.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Согласно Стратегии развития ЖКХ в России на период до 2020 года, принятой в январе текущего года, 100 процентов активов, управляемых неэффективными унитарными предприятиями, планируется передать частным операторам уже в 2016 году. У нас таких, по словам Н.В. </w:t>
      </w:r>
      <w:proofErr w:type="spellStart"/>
      <w:r>
        <w:rPr>
          <w:rFonts w:ascii="PT Serif Caption" w:hAnsi="PT Serif Caption" w:cs="PT Serif Caption"/>
        </w:rPr>
        <w:t>Супренова</w:t>
      </w:r>
      <w:proofErr w:type="spellEnd"/>
      <w:r>
        <w:rPr>
          <w:rFonts w:ascii="PT Serif Caption" w:hAnsi="PT Serif Caption" w:cs="PT Serif Caption"/>
        </w:rPr>
        <w:t xml:space="preserve">, 13 из 40. </w:t>
      </w:r>
    </w:p>
    <w:p w:rsidR="005A0727" w:rsidRDefault="005A0727" w:rsidP="005A0727">
      <w:pPr>
        <w:pStyle w:val="ab"/>
        <w:ind w:firstLine="0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Для того чтобы обеспечить предписанные темпы передачи активов от унитарных предприятий, Минстрой планирует разработку методических рекомендаций по подготовке концессионных конкурсов и утверждение примерной формы конкурсной документации.</w:t>
      </w:r>
    </w:p>
    <w:p w:rsidR="00317B74" w:rsidRDefault="00317B74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5A0727" w:rsidRP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>Статистика</w:t>
      </w:r>
    </w:p>
    <w:p w:rsidR="005A0727" w:rsidRPr="00317B74" w:rsidRDefault="005A0727" w:rsidP="005A0727">
      <w:pPr>
        <w:pStyle w:val="ab"/>
        <w:ind w:firstLine="0"/>
        <w:jc w:val="left"/>
        <w:rPr>
          <w:sz w:val="22"/>
          <w:szCs w:val="22"/>
        </w:rPr>
      </w:pPr>
      <w:r w:rsidRPr="00317B74">
        <w:rPr>
          <w:rFonts w:ascii="PT Serif Caption" w:hAnsi="PT Serif Caption" w:cs="PT Serif Caption"/>
          <w:sz w:val="22"/>
          <w:szCs w:val="22"/>
        </w:rPr>
        <w:t>По данным Министерства строительства и жилищно-коммунального хозяйства Российской Федерации в 2015 году было заключено 271 концессионное соглашение, а общее количество концессий в сфере ЖКХ в настоящее время достигло 69</w:t>
      </w:r>
      <w:r w:rsidRPr="00317B74">
        <w:rPr>
          <w:sz w:val="22"/>
          <w:szCs w:val="22"/>
        </w:rPr>
        <w:t xml:space="preserve">9. </w:t>
      </w:r>
    </w:p>
    <w:p w:rsidR="005A0727" w:rsidRDefault="005A0727" w:rsidP="005A0727">
      <w:pPr>
        <w:pStyle w:val="af3"/>
        <w:ind w:firstLine="283"/>
        <w:jc w:val="right"/>
        <w:rPr>
          <w:rFonts w:ascii="Helvetica Light Oblique" w:hAnsi="Helvetica Light Oblique" w:cs="Helvetica Light Oblique"/>
          <w:i/>
          <w:iCs/>
          <w:sz w:val="16"/>
          <w:szCs w:val="16"/>
          <w:lang w:val="ru-RU"/>
        </w:rPr>
      </w:pPr>
    </w:p>
    <w:p w:rsidR="005A0727" w:rsidRDefault="005A0727" w:rsidP="005A0727">
      <w:pPr>
        <w:pStyle w:val="af3"/>
        <w:jc w:val="right"/>
        <w:rPr>
          <w:rFonts w:ascii="Helvetica Light Oblique" w:hAnsi="Helvetica Light Oblique" w:cs="Helvetica Light Oblique"/>
          <w:i/>
          <w:iCs/>
          <w:sz w:val="16"/>
          <w:szCs w:val="16"/>
          <w:lang w:val="ru-RU"/>
        </w:rPr>
      </w:pPr>
      <w:r>
        <w:rPr>
          <w:rFonts w:ascii="Helvetica Light Oblique" w:hAnsi="Helvetica Light Oblique" w:cs="Helvetica Light Oblique"/>
          <w:i/>
          <w:iCs/>
          <w:sz w:val="16"/>
          <w:szCs w:val="16"/>
          <w:lang w:val="ru-RU"/>
        </w:rPr>
        <w:t xml:space="preserve">Источник: официальный сайт </w:t>
      </w:r>
    </w:p>
    <w:p w:rsidR="005A0727" w:rsidRPr="00F656A0" w:rsidRDefault="005A0727" w:rsidP="00317B74">
      <w:pPr>
        <w:pStyle w:val="ab"/>
        <w:ind w:firstLine="0"/>
        <w:jc w:val="right"/>
        <w:rPr>
          <w:rFonts w:ascii="PT Serif Caption" w:hAnsi="PT Serif Caption" w:cs="PT Serif Caption"/>
        </w:rPr>
      </w:pPr>
      <w:r>
        <w:rPr>
          <w:rFonts w:ascii="Helvetica Light Oblique" w:hAnsi="Helvetica Light Oblique" w:cs="Helvetica Light Oblique"/>
          <w:i/>
          <w:iCs/>
          <w:sz w:val="16"/>
          <w:szCs w:val="16"/>
        </w:rPr>
        <w:t>Минстроя России</w:t>
      </w:r>
    </w:p>
    <w:p w:rsidR="00B05AC3" w:rsidRDefault="00B05AC3" w:rsidP="00F656A0">
      <w:pPr>
        <w:rPr>
          <w:szCs w:val="72"/>
        </w:rPr>
      </w:pPr>
    </w:p>
    <w:p w:rsidR="005A0727" w:rsidRP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>Дело житейское</w:t>
      </w:r>
    </w:p>
    <w:p w:rsidR="005A0727" w:rsidRDefault="005A0727" w:rsidP="00317B74">
      <w:pPr>
        <w:pStyle w:val="ab"/>
        <w:ind w:firstLine="0"/>
        <w:rPr>
          <w:rFonts w:ascii="PT Serif Caption" w:hAnsi="PT Serif Caption" w:cs="PT Serif Caption"/>
          <w:i/>
          <w:iCs/>
          <w:sz w:val="22"/>
          <w:szCs w:val="22"/>
        </w:rPr>
      </w:pPr>
      <w:r>
        <w:rPr>
          <w:rFonts w:ascii="PT Serif Caption" w:hAnsi="PT Serif Caption" w:cs="PT Serif Caption"/>
          <w:i/>
          <w:iCs/>
          <w:sz w:val="22"/>
          <w:szCs w:val="22"/>
        </w:rPr>
        <w:t>Вопросы похоронного дела стали темой очередного обучающего семинара, состоявшегося в Совете в конце марта.</w:t>
      </w:r>
      <w:r w:rsidR="00317B74">
        <w:rPr>
          <w:rFonts w:ascii="PT Serif Caption" w:hAnsi="PT Serif Caption" w:cs="PT Serif Caption"/>
          <w:i/>
          <w:iCs/>
          <w:sz w:val="22"/>
          <w:szCs w:val="22"/>
        </w:rPr>
        <w:t xml:space="preserve"> </w:t>
      </w:r>
      <w:r>
        <w:rPr>
          <w:rFonts w:ascii="PT Serif Caption" w:hAnsi="PT Serif Caption" w:cs="PT Serif Caption"/>
          <w:i/>
          <w:iCs/>
          <w:sz w:val="22"/>
          <w:szCs w:val="22"/>
        </w:rPr>
        <w:t xml:space="preserve">На этот раз в числе </w:t>
      </w:r>
      <w:proofErr w:type="spellStart"/>
      <w:r>
        <w:rPr>
          <w:rFonts w:ascii="PT Serif Caption" w:hAnsi="PT Serif Caption" w:cs="PT Serif Caption"/>
          <w:i/>
          <w:iCs/>
          <w:sz w:val="22"/>
          <w:szCs w:val="22"/>
        </w:rPr>
        <w:t>соорганизаторов</w:t>
      </w:r>
      <w:proofErr w:type="spellEnd"/>
      <w:r>
        <w:rPr>
          <w:rFonts w:ascii="PT Serif Caption" w:hAnsi="PT Serif Caption" w:cs="PT Serif Caption"/>
          <w:i/>
          <w:iCs/>
          <w:sz w:val="22"/>
          <w:szCs w:val="22"/>
        </w:rPr>
        <w:t xml:space="preserve"> мероприятия выступил Департамент потребительского рынка Томской области.</w:t>
      </w:r>
    </w:p>
    <w:p w:rsidR="00317B74" w:rsidRDefault="00317B74" w:rsidP="00317B74">
      <w:pPr>
        <w:pStyle w:val="ab"/>
        <w:ind w:firstLine="0"/>
        <w:rPr>
          <w:rFonts w:ascii="PT Serif Caption" w:hAnsi="PT Serif Caption" w:cs="PT Serif Caption"/>
          <w:i/>
          <w:iCs/>
        </w:rPr>
      </w:pP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Федеральный закон о погребении и похоронном деле был принят в 1996 году. Вполне естественно, что установленные принципы управления данной сферой за двадцать лет прилично устарели.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Современные проблемы развития похоронной отрасли эксперты связывают именно с несоответствием действующей нормативной базы современным условиям.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частности, сегодня для предприятий похоронной отрасли с целью получения права на оказание услуг назрела необходимость разработки отраслевых и внутрифирменных </w:t>
      </w:r>
      <w:proofErr w:type="spellStart"/>
      <w:r>
        <w:rPr>
          <w:rFonts w:ascii="PT Serif Caption" w:hAnsi="PT Serif Caption" w:cs="PT Serif Caption"/>
        </w:rPr>
        <w:t>профстандартов</w:t>
      </w:r>
      <w:proofErr w:type="spellEnd"/>
      <w:r>
        <w:rPr>
          <w:rFonts w:ascii="PT Serif Caption" w:hAnsi="PT Serif Caption" w:cs="PT Serif Caption"/>
        </w:rPr>
        <w:t xml:space="preserve">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прошлом году такой профессиональный стандарт был принят. О нем участникам семинара подробно рассказала Гарус Елена Леонидовна – директор муниципального казенного учреждения </w:t>
      </w:r>
      <w:proofErr w:type="gramStart"/>
      <w:r>
        <w:rPr>
          <w:rFonts w:ascii="PT Serif Caption" w:hAnsi="PT Serif Caption" w:cs="PT Serif Caption"/>
        </w:rPr>
        <w:t>г</w:t>
      </w:r>
      <w:proofErr w:type="gramEnd"/>
      <w:r>
        <w:rPr>
          <w:rFonts w:ascii="PT Serif Caption" w:hAnsi="PT Serif Caption" w:cs="PT Serif Caption"/>
        </w:rPr>
        <w:t>. Томска «Служба городских кладбищ» и на общественных началах – Президент региональной ассоциации содействия развитию похоронной отрасли Сибири и Дальнего Востока.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По словам Елены Леонидовны, наличие профессионального стандарта «Специалист похоронного дела» позволяет сформировать общую стратегию развития рынка труда и системы образования по предоставлению похоронных услуг населению, в том числе планировать различные траектории образования, ведущие к получению конкретной квалификации.</w:t>
      </w:r>
    </w:p>
    <w:p w:rsidR="005A0727" w:rsidRDefault="005A0727" w:rsidP="005A0727">
      <w:pPr>
        <w:pStyle w:val="af3"/>
        <w:jc w:val="both"/>
        <w:rPr>
          <w:rFonts w:ascii="PT Serif Caption" w:hAnsi="PT Serif Caption" w:cs="PT Serif Caption"/>
          <w:sz w:val="20"/>
          <w:szCs w:val="20"/>
          <w:lang w:val="ru-RU"/>
        </w:rPr>
      </w:pPr>
      <w:r>
        <w:rPr>
          <w:rFonts w:ascii="PT Serif Caption" w:hAnsi="PT Serif Caption" w:cs="PT Serif Caption"/>
          <w:sz w:val="20"/>
          <w:szCs w:val="20"/>
          <w:lang w:val="ru-RU"/>
        </w:rPr>
        <w:t xml:space="preserve">    В порядке обмена опытом  к семинару была подготовлена информация о том, как вопросы похоронного дела регулируются на территории областного центра. Так, например, в марте этого года Администрацией города Томска утверждено Положение о деятельности муниципальных общественных кладбищ, об </w:t>
      </w:r>
      <w:r>
        <w:rPr>
          <w:rFonts w:ascii="PT Serif Caption" w:hAnsi="PT Serif Caption" w:cs="PT Serif Caption"/>
          <w:sz w:val="20"/>
          <w:szCs w:val="20"/>
          <w:lang w:val="ru-RU"/>
        </w:rPr>
        <w:lastRenderedPageBreak/>
        <w:t xml:space="preserve">организации ритуальных услуг и содержании мест захоронения на территории муниципального образования «Город Томск». Им регулируется как общий порядок захоронения, так и порядок захоронения на почетном квартале. </w:t>
      </w:r>
    </w:p>
    <w:p w:rsidR="005A0727" w:rsidRDefault="005A0727" w:rsidP="005A0727">
      <w:pPr>
        <w:pStyle w:val="af3"/>
        <w:jc w:val="both"/>
        <w:rPr>
          <w:rFonts w:ascii="PT Serif Caption" w:hAnsi="PT Serif Caption" w:cs="PT Serif Caption"/>
          <w:sz w:val="20"/>
          <w:szCs w:val="20"/>
          <w:lang w:val="ru-RU"/>
        </w:rPr>
      </w:pPr>
      <w:r>
        <w:rPr>
          <w:rFonts w:ascii="PT Serif Caption" w:hAnsi="PT Serif Caption" w:cs="PT Serif Caption"/>
          <w:sz w:val="20"/>
          <w:szCs w:val="20"/>
          <w:lang w:val="ru-RU"/>
        </w:rPr>
        <w:t xml:space="preserve">   Также установлены требования к качеству гарантированного перечня услуг по погребению, правила посещения кладбищ и правила движения транспортных средств по их территории.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заключение рабочего дня слушатели семинара познакомились с деятельностью «Союза похоронных организаций и крематориев» и Негосударственного частного образовательного учреждения ДПО «Сибирский межрегиональный учебно-методический центр», который открылся в Томске в прошлом году. </w:t>
      </w:r>
    </w:p>
    <w:p w:rsidR="005A0727" w:rsidRDefault="005A0727" w:rsidP="00317B7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 числе основных направлений деятельности учебного центра – подготовка кадров и повышение квалификации специалистов в области похоронного дела.</w:t>
      </w:r>
    </w:p>
    <w:p w:rsidR="005A0727" w:rsidRDefault="005A0727" w:rsidP="005A0727">
      <w:pPr>
        <w:rPr>
          <w:rFonts w:ascii="PT Serif Caption" w:hAnsi="PT Serif Caption" w:cs="PT Serif Caption"/>
        </w:rPr>
      </w:pPr>
    </w:p>
    <w:p w:rsidR="005A0727" w:rsidRP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>Кто поспорит с генетикой</w:t>
      </w:r>
    </w:p>
    <w:p w:rsidR="005A0727" w:rsidRDefault="005A0727" w:rsidP="005A0727">
      <w:pPr>
        <w:pStyle w:val="ab"/>
        <w:ind w:firstLine="0"/>
        <w:rPr>
          <w:rFonts w:ascii="PT Serif Caption" w:hAnsi="PT Serif Caption" w:cs="PT Serif Caption"/>
          <w:i/>
          <w:iCs/>
          <w:sz w:val="22"/>
          <w:szCs w:val="22"/>
        </w:rPr>
      </w:pPr>
      <w:r>
        <w:rPr>
          <w:rFonts w:ascii="PT Serif Caption" w:hAnsi="PT Serif Caption" w:cs="PT Serif Caption"/>
          <w:i/>
          <w:iCs/>
          <w:sz w:val="22"/>
          <w:szCs w:val="22"/>
        </w:rPr>
        <w:t xml:space="preserve">Сегодня много говорится о том, что Россия вполне способна обеспечить себя основными видами продуктов питания и сфера АПК находится под пристальным вниманием. По мнению экспертов, большой скачок в обеспечении продовольственной безопасности страны можно сделать, в том числе, благодаря искусственному осеменению. </w:t>
      </w:r>
    </w:p>
    <w:p w:rsidR="00317B74" w:rsidRDefault="00317B74" w:rsidP="005A0727">
      <w:pPr>
        <w:pStyle w:val="ab"/>
        <w:rPr>
          <w:rFonts w:ascii="PT Serif Caption" w:hAnsi="PT Serif Caption" w:cs="PT Serif Caption"/>
        </w:rPr>
      </w:pP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Поскольку содействие в развитии сельскохозяйственного производства федеральным законодательством отнесено к числу вопросов местного значения Совет муниципальных образований совместно с Управлением ветеринарии Томской области организовал «круглый стол», в котором вопрос организации искусственного осеменения коров стал, пожалуй, одним из главных.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Препятствие в проведении искусственного осеменения заключается в том, что сегодня более 50% всего поголовья находится в личных подсобных хозяйствах. В советские времена система была построена через совхозы, за счет этого сохранялся и генетический потенциал в личных хозяйствах. Ветеринарная служба занимается искусственным осеменением только с 2008 года и опыт проведения этих работ в ЛПХ небольшой.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Чем в этом деле могут помочь главы муниципальных образований? Максимально информировать владельцев животных – эта одна из главных задач, которая была озвучена в ходе семинара.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Если проанализировать показатели, то в 2015 году наибольший процент искусственного осеменения коров в частном секторе был отмечен в </w:t>
      </w:r>
      <w:proofErr w:type="spellStart"/>
      <w:r>
        <w:rPr>
          <w:rFonts w:ascii="PT Serif Caption" w:hAnsi="PT Serif Caption" w:cs="PT Serif Caption"/>
        </w:rPr>
        <w:t>Асиновском</w:t>
      </w:r>
      <w:proofErr w:type="spellEnd"/>
      <w:r>
        <w:rPr>
          <w:rFonts w:ascii="PT Serif Caption" w:hAnsi="PT Serif Caption" w:cs="PT Serif Caption"/>
        </w:rPr>
        <w:t xml:space="preserve">, </w:t>
      </w:r>
      <w:proofErr w:type="spellStart"/>
      <w:r>
        <w:rPr>
          <w:rFonts w:ascii="PT Serif Caption" w:hAnsi="PT Serif Caption" w:cs="PT Serif Caption"/>
        </w:rPr>
        <w:t>Колпашевском</w:t>
      </w:r>
      <w:proofErr w:type="spellEnd"/>
      <w:r>
        <w:rPr>
          <w:rFonts w:ascii="PT Serif Caption" w:hAnsi="PT Serif Caption" w:cs="PT Serif Caption"/>
        </w:rPr>
        <w:t xml:space="preserve"> и Зырянском районах – 21% к общему числу ЛПХ. Наименьший охват отмечается в </w:t>
      </w:r>
      <w:proofErr w:type="spellStart"/>
      <w:r>
        <w:rPr>
          <w:rFonts w:ascii="PT Serif Caption" w:hAnsi="PT Serif Caption" w:cs="PT Serif Caption"/>
        </w:rPr>
        <w:t>Кривошеинском</w:t>
      </w:r>
      <w:proofErr w:type="spellEnd"/>
      <w:r>
        <w:rPr>
          <w:rFonts w:ascii="PT Serif Caption" w:hAnsi="PT Serif Caption" w:cs="PT Serif Caption"/>
        </w:rPr>
        <w:t xml:space="preserve"> – 4,7% и Первомайском районе – 7,6%.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– Купить племенное животное в частном секторе сегодня практически невозможно, – отметил </w:t>
      </w:r>
      <w:proofErr w:type="gramStart"/>
      <w:r>
        <w:rPr>
          <w:rFonts w:ascii="PT Serif Caption" w:hAnsi="PT Serif Caption" w:cs="PT Serif Caption"/>
        </w:rPr>
        <w:t>Непомнящих</w:t>
      </w:r>
      <w:proofErr w:type="gramEnd"/>
      <w:r>
        <w:rPr>
          <w:rFonts w:ascii="PT Serif Caption" w:hAnsi="PT Serif Caption" w:cs="PT Serif Caption"/>
        </w:rPr>
        <w:t xml:space="preserve"> Сергей Викторович, заместитель начальника Управления ветеринарии Томской области. – Искусственное осеменение – чуть ли не единственный вариант улучшения породных свойств животных. А это, в свою очередь,  повышение и уровня надоя молока, и мясной продуктивности животных. Сейчас Томское объединение ветеринарии обеспечивает доставку племенного материала с высоким генетическим потенциалом.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Также, по словам ведущих, на базе Томского объединения ветеринарии создан учебный центр, закуплено современное специализированное оборудование для обучения специалистов, есть </w:t>
      </w:r>
      <w:proofErr w:type="spellStart"/>
      <w:r>
        <w:rPr>
          <w:rFonts w:ascii="PT Serif Caption" w:hAnsi="PT Serif Caption" w:cs="PT Serif Caption"/>
        </w:rPr>
        <w:t>спермохранилище</w:t>
      </w:r>
      <w:proofErr w:type="spellEnd"/>
      <w:r>
        <w:rPr>
          <w:rFonts w:ascii="PT Serif Caption" w:hAnsi="PT Serif Caption" w:cs="PT Serif Caption"/>
        </w:rPr>
        <w:t xml:space="preserve">. </w:t>
      </w:r>
    </w:p>
    <w:p w:rsidR="005A0727" w:rsidRDefault="005A0727" w:rsidP="00317B7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Была отмечена и та работа, которую за последние три года провел областной Департамент по социально-экономическому развитию села по оптимизации предоставления субсидий на оказание услуг по искусственному осеменению животных. Сегодня для владельцев животных все упрощено – услуга </w:t>
      </w:r>
      <w:r>
        <w:rPr>
          <w:rFonts w:ascii="PT Serif Caption" w:hAnsi="PT Serif Caption" w:cs="PT Serif Caption"/>
        </w:rPr>
        <w:lastRenderedPageBreak/>
        <w:t>предоставляется бесплатно. Затраты, часть которых компенсируется из бюджета, несут организации, оказывающие данный вид услуг.</w:t>
      </w:r>
    </w:p>
    <w:p w:rsidR="005A0727" w:rsidRDefault="005A0727" w:rsidP="005A0727">
      <w:pPr>
        <w:rPr>
          <w:rFonts w:ascii="PT Serif Caption" w:hAnsi="PT Serif Caption" w:cs="PT Serif Caption"/>
        </w:rPr>
      </w:pPr>
    </w:p>
    <w:p w:rsidR="005A0727" w:rsidRP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>Что покупать и сколько тратить</w:t>
      </w:r>
    </w:p>
    <w:p w:rsidR="005A0727" w:rsidRPr="00317B74" w:rsidRDefault="005A0727" w:rsidP="005A0727">
      <w:pPr>
        <w:pStyle w:val="af3"/>
        <w:jc w:val="both"/>
        <w:rPr>
          <w:rFonts w:ascii="PT Serif Caption" w:hAnsi="PT Serif Caption" w:cs="PT Serif Caption"/>
          <w:i/>
          <w:iCs/>
          <w:sz w:val="22"/>
          <w:szCs w:val="22"/>
          <w:lang w:val="ru-RU"/>
        </w:rPr>
      </w:pPr>
      <w:r w:rsidRPr="00317B74">
        <w:rPr>
          <w:rFonts w:ascii="PT Serif Caption" w:hAnsi="PT Serif Caption" w:cs="PT Serif Caption"/>
          <w:i/>
          <w:iCs/>
          <w:sz w:val="22"/>
          <w:szCs w:val="22"/>
          <w:lang w:val="ru-RU"/>
        </w:rPr>
        <w:t xml:space="preserve">Сложные вопросы планирования и нормирования в сфере закупок разбирали участники семинара, организованного Советом совместно с Департаментом государственного заказа Томской области. Если точнее, то разговор шел о вступивших в силу с 1 января 2016 года трех статьях 44-го федерального закона –16, 17 и 21. Открывая семинар, заместитель начальника Департамента государственного заказа Томской области </w:t>
      </w:r>
      <w:proofErr w:type="spellStart"/>
      <w:r w:rsidRPr="00317B74">
        <w:rPr>
          <w:rFonts w:ascii="PT Serif Caption" w:hAnsi="PT Serif Caption" w:cs="PT Serif Caption"/>
          <w:i/>
          <w:iCs/>
          <w:sz w:val="22"/>
          <w:szCs w:val="22"/>
          <w:lang w:val="ru-RU"/>
        </w:rPr>
        <w:t>Сизухина</w:t>
      </w:r>
      <w:proofErr w:type="spellEnd"/>
      <w:r w:rsidRPr="00317B74">
        <w:rPr>
          <w:rFonts w:ascii="PT Serif Caption" w:hAnsi="PT Serif Caption" w:cs="PT Serif Caption"/>
          <w:i/>
          <w:iCs/>
          <w:sz w:val="22"/>
          <w:szCs w:val="22"/>
          <w:lang w:val="ru-RU"/>
        </w:rPr>
        <w:t xml:space="preserve"> Маргарита Владимировна отметила, что применение именно этих статей естественно вызывает на сегодняшний день много вопросов, и основная задача, которая стоит перед муниципальными заказчиками – с минимальными потерями приступить к реализации требований законодательства.</w:t>
      </w:r>
    </w:p>
    <w:p w:rsidR="00317B74" w:rsidRDefault="00317B74" w:rsidP="005A0727">
      <w:pPr>
        <w:pStyle w:val="ab"/>
        <w:rPr>
          <w:rFonts w:ascii="PT Serif Caption" w:hAnsi="PT Serif Caption" w:cs="PT Serif Caption"/>
        </w:rPr>
      </w:pP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Первое и принципиальное изменение в сфере планирования закупок состоит в том, что сегодня предусмотрено наличие двух документов: плана закупок и плана-графика закупок.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Первый документ формируется параллельно процессу бюджетного планирования и формируется на срок, соответствующий сроку действия закона (или решения) о бюджете, то есть на один либо на три года.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Второй документ формируется на 1 год на основе утвержденного плана закупок и является основанием для осуществления закупок в текущем году. Закупка, не предусмотренная планом-графиком закупок, не может быть осуществлена. 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Основой для разработки муниципальных правовых актов о порядке формирования, утверждения и ведения планов и планов-графиков закупок являются те требования, которые установлены Постановлениями Правительства Российской Федерации (№1043 от 21.11.2013, №554 от 05.06.2015).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Нововведения касаются также обоснования закупок. Оно должно осуществляться как при формировании плана закупок, так и при формировании плана-графика закупок. Порядок проведения обоснования закупок установлен Постановлением Правительства Российской Федерации от 05.06.2015 № 555.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 первом случае обоснованию подлежит сам объект закупки, а при формировании плана-графика закупок обоснованию подлежат начальная (максимальная) цена контракта и способ определения поставщика.</w:t>
      </w:r>
    </w:p>
    <w:p w:rsidR="005A0727" w:rsidRDefault="005A0727" w:rsidP="005A0727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Нормирование закупок вводится законодателем с целью исключения закупки товаров, работ, услуг, имеющих избыточные потребительские свойства или представляющих собой предметы роскоши. </w:t>
      </w:r>
    </w:p>
    <w:p w:rsidR="005A0727" w:rsidRDefault="005A0727" w:rsidP="00317B7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Механизмы, действующие в нормировании, базируются на двух вопросах: что можно покупать и сколько денег можно тратить?</w:t>
      </w:r>
    </w:p>
    <w:p w:rsidR="00317B74" w:rsidRDefault="00317B74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5A0727" w:rsidRPr="005A0727" w:rsidRDefault="005A0727" w:rsidP="005A0727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5A0727">
        <w:rPr>
          <w:rFonts w:ascii="Roboto" w:hAnsi="Roboto" w:cs="Roboto"/>
          <w:b/>
          <w:bCs/>
          <w:w w:val="80"/>
          <w:sz w:val="36"/>
          <w:szCs w:val="36"/>
          <w:lang w:val="ru-RU"/>
        </w:rPr>
        <w:t xml:space="preserve">К слову </w:t>
      </w:r>
    </w:p>
    <w:p w:rsidR="005A0727" w:rsidRPr="00F656A0" w:rsidRDefault="005A0727" w:rsidP="00317B74">
      <w:pPr>
        <w:pStyle w:val="ab"/>
        <w:ind w:firstLine="0"/>
        <w:jc w:val="left"/>
        <w:rPr>
          <w:szCs w:val="72"/>
        </w:rPr>
      </w:pPr>
      <w:r w:rsidRPr="00317B74">
        <w:rPr>
          <w:rFonts w:ascii="PT Serif Caption" w:hAnsi="PT Serif Caption" w:cs="PT Serif Caption"/>
          <w:sz w:val="22"/>
          <w:szCs w:val="22"/>
        </w:rPr>
        <w:t xml:space="preserve">Детально о новых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представителям муниципальных заказчиков рассказала </w:t>
      </w:r>
      <w:proofErr w:type="spellStart"/>
      <w:r w:rsidRPr="00317B74">
        <w:rPr>
          <w:rFonts w:ascii="PT Serif Caption" w:hAnsi="PT Serif Caption" w:cs="PT Serif Caption"/>
          <w:sz w:val="22"/>
          <w:szCs w:val="22"/>
        </w:rPr>
        <w:t>Брункина</w:t>
      </w:r>
      <w:proofErr w:type="spellEnd"/>
      <w:r w:rsidRPr="00317B74">
        <w:rPr>
          <w:rFonts w:ascii="PT Serif Caption" w:hAnsi="PT Serif Caption" w:cs="PT Serif Caption"/>
          <w:sz w:val="22"/>
          <w:szCs w:val="22"/>
        </w:rPr>
        <w:t xml:space="preserve"> Екатерина Вячеславовна – председатель комитета планирования и аналитической работы Департамента государственного заказа Томской области. Постараемся в тезисах передать суть нововведений.</w:t>
      </w:r>
    </w:p>
    <w:sectPr w:rsidR="005A0727" w:rsidRPr="00F656A0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78" w:rsidRDefault="00F26078" w:rsidP="002868CF">
      <w:r>
        <w:separator/>
      </w:r>
    </w:p>
  </w:endnote>
  <w:endnote w:type="continuationSeparator" w:id="0">
    <w:p w:rsidR="00F26078" w:rsidRDefault="00F26078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78" w:rsidRDefault="00F26078" w:rsidP="002868CF">
      <w:r>
        <w:separator/>
      </w:r>
    </w:p>
  </w:footnote>
  <w:footnote w:type="continuationSeparator" w:id="0">
    <w:p w:rsidR="00F26078" w:rsidRDefault="00F26078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</w:t>
    </w:r>
    <w:r w:rsidRPr="00B05AC3">
      <w:rPr>
        <w:rFonts w:ascii="Myriad Pro" w:hAnsi="Myriad Pro"/>
        <w:color w:val="auto"/>
        <w:sz w:val="20"/>
        <w:szCs w:val="20"/>
      </w:rPr>
      <w:t>ЯНВАРЬ-МАРТ 2016</w:t>
    </w:r>
  </w:p>
  <w:p w:rsidR="00B05AC3" w:rsidRDefault="00A75BA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B05AC3">
    <w:pPr>
      <w:pStyle w:val="a4"/>
      <w:tabs>
        <w:tab w:val="clear" w:pos="9355"/>
        <w:tab w:val="left" w:pos="3855"/>
        <w:tab w:val="right" w:pos="10773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68CF"/>
    <w:rsid w:val="002900D3"/>
    <w:rsid w:val="0029469C"/>
    <w:rsid w:val="002F399B"/>
    <w:rsid w:val="00317B74"/>
    <w:rsid w:val="00354B27"/>
    <w:rsid w:val="00383DD9"/>
    <w:rsid w:val="00387B45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507AE7"/>
    <w:rsid w:val="00511148"/>
    <w:rsid w:val="00512C42"/>
    <w:rsid w:val="00524C31"/>
    <w:rsid w:val="00552BEB"/>
    <w:rsid w:val="0059058A"/>
    <w:rsid w:val="00590747"/>
    <w:rsid w:val="005948FE"/>
    <w:rsid w:val="005A0727"/>
    <w:rsid w:val="005C1931"/>
    <w:rsid w:val="00600C16"/>
    <w:rsid w:val="00652A4E"/>
    <w:rsid w:val="00693619"/>
    <w:rsid w:val="006B5247"/>
    <w:rsid w:val="00716ABB"/>
    <w:rsid w:val="00724244"/>
    <w:rsid w:val="0074144F"/>
    <w:rsid w:val="00747464"/>
    <w:rsid w:val="00750963"/>
    <w:rsid w:val="0075387B"/>
    <w:rsid w:val="00754555"/>
    <w:rsid w:val="00766C2B"/>
    <w:rsid w:val="00774A04"/>
    <w:rsid w:val="00790C27"/>
    <w:rsid w:val="007E7564"/>
    <w:rsid w:val="00802D21"/>
    <w:rsid w:val="00806ABB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C718E9"/>
    <w:rsid w:val="00C831F9"/>
    <w:rsid w:val="00CC2E39"/>
    <w:rsid w:val="00D068AD"/>
    <w:rsid w:val="00D13627"/>
    <w:rsid w:val="00D15695"/>
    <w:rsid w:val="00D214F0"/>
    <w:rsid w:val="00D2219A"/>
    <w:rsid w:val="00D42D48"/>
    <w:rsid w:val="00D51C82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26078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2016-05-11T06:01:00Z</dcterms:created>
  <dcterms:modified xsi:type="dcterms:W3CDTF">2016-05-11T06:04:00Z</dcterms:modified>
</cp:coreProperties>
</file>